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2D58C9" w14:textId="77777777" w:rsidR="00557754" w:rsidRDefault="00557754" w:rsidP="001501B1">
      <w:pPr>
        <w:spacing w:line="240" w:lineRule="auto"/>
      </w:pPr>
    </w:p>
    <w:p w14:paraId="5FB3EA60" w14:textId="77777777" w:rsidR="00557754" w:rsidRPr="001501B1" w:rsidRDefault="00557754" w:rsidP="001501B1">
      <w:pPr>
        <w:spacing w:line="240" w:lineRule="auto"/>
        <w:jc w:val="center"/>
        <w:rPr>
          <w:b/>
        </w:rPr>
      </w:pPr>
      <w:r w:rsidRPr="001501B1">
        <w:rPr>
          <w:b/>
        </w:rPr>
        <w:t>UNITED STATES DISTRICT COURT</w:t>
      </w:r>
    </w:p>
    <w:p w14:paraId="143354D2" w14:textId="77777777" w:rsidR="00557754" w:rsidRPr="001501B1" w:rsidRDefault="00557754" w:rsidP="001501B1">
      <w:pPr>
        <w:spacing w:line="240" w:lineRule="auto"/>
        <w:jc w:val="center"/>
        <w:rPr>
          <w:b/>
        </w:rPr>
      </w:pPr>
      <w:r w:rsidRPr="001501B1">
        <w:rPr>
          <w:b/>
        </w:rPr>
        <w:t>DISTRICT OF MOOT</w:t>
      </w:r>
    </w:p>
    <w:p w14:paraId="1049BE01" w14:textId="77777777" w:rsidR="00557754" w:rsidRPr="001501B1" w:rsidRDefault="00557754" w:rsidP="001501B1">
      <w:pPr>
        <w:spacing w:line="240" w:lineRule="auto"/>
        <w:jc w:val="center"/>
        <w:rPr>
          <w:b/>
        </w:rPr>
      </w:pPr>
      <w:r w:rsidRPr="001501B1">
        <w:rPr>
          <w:b/>
        </w:rPr>
        <w:t>SECOND DIVISION</w:t>
      </w:r>
    </w:p>
    <w:p w14:paraId="780AEB4D" w14:textId="77777777" w:rsidR="00557754" w:rsidRDefault="005A714C" w:rsidP="005A714C">
      <w:pPr>
        <w:tabs>
          <w:tab w:val="left" w:pos="1140"/>
        </w:tabs>
        <w:spacing w:line="240" w:lineRule="auto"/>
      </w:pPr>
      <w:r>
        <w:tab/>
      </w:r>
    </w:p>
    <w:tbl>
      <w:tblPr>
        <w:tblW w:w="0" w:type="auto"/>
        <w:tblLayout w:type="fixed"/>
        <w:tblLook w:val="0000" w:firstRow="0" w:lastRow="0" w:firstColumn="0" w:lastColumn="0" w:noHBand="0" w:noVBand="0"/>
      </w:tblPr>
      <w:tblGrid>
        <w:gridCol w:w="4428"/>
        <w:gridCol w:w="4428"/>
      </w:tblGrid>
      <w:tr w:rsidR="00557754" w14:paraId="740BAF92" w14:textId="77777777" w:rsidTr="00200E7B">
        <w:tc>
          <w:tcPr>
            <w:tcW w:w="4428" w:type="dxa"/>
          </w:tcPr>
          <w:p w14:paraId="55F1D8FD" w14:textId="77777777" w:rsidR="00557754" w:rsidRPr="005A714C" w:rsidRDefault="001501B1" w:rsidP="001501B1">
            <w:pPr>
              <w:pStyle w:val="Footer"/>
              <w:spacing w:line="240" w:lineRule="auto"/>
              <w:rPr>
                <w:snapToGrid w:val="0"/>
              </w:rPr>
            </w:pPr>
            <w:r w:rsidRPr="005A714C">
              <w:rPr>
                <w:snapToGrid w:val="0"/>
              </w:rPr>
              <w:t xml:space="preserve">OGS TV, Inc., </w:t>
            </w:r>
            <w:r w:rsidR="00557754" w:rsidRPr="005A714C">
              <w:rPr>
                <w:snapToGrid w:val="0"/>
              </w:rPr>
              <w:t xml:space="preserve">        </w:t>
            </w:r>
          </w:p>
          <w:p w14:paraId="3A1E5108" w14:textId="77777777" w:rsidR="00557754" w:rsidRDefault="00557754" w:rsidP="001501B1">
            <w:pPr>
              <w:pStyle w:val="Footer"/>
              <w:spacing w:line="240" w:lineRule="auto"/>
              <w:rPr>
                <w:snapToGrid w:val="0"/>
              </w:rPr>
            </w:pPr>
            <w:r>
              <w:rPr>
                <w:snapToGrid w:val="0"/>
              </w:rPr>
              <w:t xml:space="preserve">                        Plaintiff</w:t>
            </w:r>
          </w:p>
        </w:tc>
        <w:tc>
          <w:tcPr>
            <w:tcW w:w="4428" w:type="dxa"/>
          </w:tcPr>
          <w:p w14:paraId="381761B2" w14:textId="77777777" w:rsidR="00557754" w:rsidRDefault="00557754" w:rsidP="001501B1">
            <w:pPr>
              <w:pStyle w:val="Footer"/>
              <w:spacing w:line="240" w:lineRule="auto"/>
              <w:rPr>
                <w:snapToGrid w:val="0"/>
              </w:rPr>
            </w:pPr>
            <w:r>
              <w:rPr>
                <w:snapToGrid w:val="0"/>
              </w:rPr>
              <w:t xml:space="preserve">               Civ. No. 12-02-1234</w:t>
            </w:r>
          </w:p>
        </w:tc>
      </w:tr>
      <w:tr w:rsidR="00557754" w14:paraId="7BDA00FF" w14:textId="77777777" w:rsidTr="00200E7B">
        <w:tc>
          <w:tcPr>
            <w:tcW w:w="4428" w:type="dxa"/>
          </w:tcPr>
          <w:p w14:paraId="7F5B5FEF" w14:textId="77777777" w:rsidR="00557754" w:rsidRDefault="00557754" w:rsidP="001501B1">
            <w:pPr>
              <w:pStyle w:val="Footer"/>
              <w:spacing w:line="240" w:lineRule="auto"/>
              <w:rPr>
                <w:snapToGrid w:val="0"/>
              </w:rPr>
            </w:pPr>
          </w:p>
          <w:p w14:paraId="6F7C433D" w14:textId="77777777" w:rsidR="00557754" w:rsidRDefault="00557754" w:rsidP="001501B1">
            <w:pPr>
              <w:pStyle w:val="Footer"/>
              <w:spacing w:line="240" w:lineRule="auto"/>
              <w:rPr>
                <w:snapToGrid w:val="0"/>
              </w:rPr>
            </w:pPr>
            <w:r>
              <w:rPr>
                <w:snapToGrid w:val="0"/>
              </w:rPr>
              <w:t>v.</w:t>
            </w:r>
          </w:p>
        </w:tc>
        <w:tc>
          <w:tcPr>
            <w:tcW w:w="4428" w:type="dxa"/>
          </w:tcPr>
          <w:p w14:paraId="0D2C7F43" w14:textId="77777777" w:rsidR="00557754" w:rsidRPr="001501B1" w:rsidRDefault="00557754" w:rsidP="001501B1">
            <w:pPr>
              <w:pStyle w:val="Footer"/>
              <w:spacing w:line="240" w:lineRule="auto"/>
              <w:rPr>
                <w:b/>
                <w:snapToGrid w:val="0"/>
              </w:rPr>
            </w:pPr>
            <w:r w:rsidRPr="001501B1">
              <w:rPr>
                <w:b/>
                <w:snapToGrid w:val="0"/>
              </w:rPr>
              <w:t xml:space="preserve">               DEFENDANTS’</w:t>
            </w:r>
          </w:p>
          <w:p w14:paraId="7F1AE9CE" w14:textId="77777777" w:rsidR="00557754" w:rsidRPr="001501B1" w:rsidRDefault="00557754" w:rsidP="001501B1">
            <w:pPr>
              <w:pStyle w:val="Footer"/>
              <w:spacing w:line="240" w:lineRule="auto"/>
              <w:rPr>
                <w:b/>
                <w:snapToGrid w:val="0"/>
              </w:rPr>
            </w:pPr>
            <w:r w:rsidRPr="001501B1">
              <w:rPr>
                <w:b/>
                <w:snapToGrid w:val="0"/>
              </w:rPr>
              <w:t xml:space="preserve">               MEMORANDUM</w:t>
            </w:r>
          </w:p>
          <w:p w14:paraId="46887414" w14:textId="77777777" w:rsidR="00557754" w:rsidRPr="001501B1" w:rsidRDefault="00557754" w:rsidP="001501B1">
            <w:pPr>
              <w:spacing w:line="240" w:lineRule="auto"/>
              <w:rPr>
                <w:b/>
              </w:rPr>
            </w:pPr>
            <w:r w:rsidRPr="001501B1">
              <w:rPr>
                <w:b/>
              </w:rPr>
              <w:t xml:space="preserve">               IN SUPPORT OF</w:t>
            </w:r>
          </w:p>
        </w:tc>
      </w:tr>
      <w:tr w:rsidR="00557754" w14:paraId="758EB6DA" w14:textId="77777777" w:rsidTr="00200E7B">
        <w:tc>
          <w:tcPr>
            <w:tcW w:w="4428" w:type="dxa"/>
          </w:tcPr>
          <w:p w14:paraId="75653FC1" w14:textId="77777777" w:rsidR="00557754" w:rsidRDefault="00557754" w:rsidP="001501B1">
            <w:pPr>
              <w:pStyle w:val="Footer"/>
              <w:spacing w:line="240" w:lineRule="auto"/>
              <w:rPr>
                <w:snapToGrid w:val="0"/>
              </w:rPr>
            </w:pPr>
          </w:p>
          <w:p w14:paraId="484BB88A" w14:textId="77777777" w:rsidR="00557754" w:rsidRPr="005A714C" w:rsidRDefault="00557754" w:rsidP="001501B1">
            <w:pPr>
              <w:pStyle w:val="Footer"/>
              <w:spacing w:line="240" w:lineRule="auto"/>
              <w:rPr>
                <w:snapToGrid w:val="0"/>
              </w:rPr>
            </w:pPr>
            <w:r w:rsidRPr="005A714C">
              <w:rPr>
                <w:snapToGrid w:val="0"/>
              </w:rPr>
              <w:t>Elizabeth Lime</w:t>
            </w:r>
            <w:r w:rsidR="001501B1" w:rsidRPr="005A714C">
              <w:rPr>
                <w:snapToGrid w:val="0"/>
              </w:rPr>
              <w:t xml:space="preserve">, and </w:t>
            </w:r>
            <w:proofErr w:type="spellStart"/>
            <w:r w:rsidR="001501B1" w:rsidRPr="005A714C">
              <w:rPr>
                <w:snapToGrid w:val="0"/>
              </w:rPr>
              <w:t>TinyTV</w:t>
            </w:r>
            <w:proofErr w:type="spellEnd"/>
            <w:r w:rsidR="001501B1" w:rsidRPr="005A714C">
              <w:rPr>
                <w:snapToGrid w:val="0"/>
              </w:rPr>
              <w:t>, Inc.,</w:t>
            </w:r>
          </w:p>
          <w:p w14:paraId="1BF34F7D" w14:textId="77777777" w:rsidR="00557754" w:rsidRDefault="00557754" w:rsidP="001501B1">
            <w:pPr>
              <w:pStyle w:val="Footer"/>
              <w:spacing w:line="240" w:lineRule="auto"/>
              <w:rPr>
                <w:snapToGrid w:val="0"/>
              </w:rPr>
            </w:pPr>
            <w:r>
              <w:rPr>
                <w:snapToGrid w:val="0"/>
              </w:rPr>
              <w:t xml:space="preserve">                        Defendants.</w:t>
            </w:r>
          </w:p>
        </w:tc>
        <w:tc>
          <w:tcPr>
            <w:tcW w:w="4428" w:type="dxa"/>
          </w:tcPr>
          <w:p w14:paraId="603D4194" w14:textId="77777777" w:rsidR="00557754" w:rsidRPr="001501B1" w:rsidRDefault="00557754" w:rsidP="001501B1">
            <w:pPr>
              <w:spacing w:line="240" w:lineRule="auto"/>
              <w:rPr>
                <w:b/>
              </w:rPr>
            </w:pPr>
            <w:r w:rsidRPr="001501B1">
              <w:rPr>
                <w:b/>
              </w:rPr>
              <w:t xml:space="preserve">               MOTION TO DISMISS</w:t>
            </w:r>
          </w:p>
          <w:p w14:paraId="2909BC6F" w14:textId="77777777" w:rsidR="00557754" w:rsidRPr="001501B1" w:rsidRDefault="00557754" w:rsidP="001501B1">
            <w:pPr>
              <w:spacing w:line="240" w:lineRule="auto"/>
              <w:rPr>
                <w:b/>
              </w:rPr>
            </w:pPr>
            <w:r w:rsidRPr="001501B1">
              <w:rPr>
                <w:b/>
              </w:rPr>
              <w:t xml:space="preserve"> </w:t>
            </w:r>
          </w:p>
        </w:tc>
      </w:tr>
      <w:tr w:rsidR="00557754" w14:paraId="271C7587" w14:textId="77777777" w:rsidTr="00200E7B">
        <w:tc>
          <w:tcPr>
            <w:tcW w:w="4428" w:type="dxa"/>
          </w:tcPr>
          <w:p w14:paraId="7F09C2CD" w14:textId="77777777" w:rsidR="00557754" w:rsidRDefault="00557754" w:rsidP="000D7C46">
            <w:pPr>
              <w:pStyle w:val="Footer"/>
              <w:rPr>
                <w:snapToGrid w:val="0"/>
              </w:rPr>
            </w:pPr>
          </w:p>
        </w:tc>
        <w:tc>
          <w:tcPr>
            <w:tcW w:w="4428" w:type="dxa"/>
          </w:tcPr>
          <w:p w14:paraId="34832B2F" w14:textId="77777777" w:rsidR="00557754" w:rsidRDefault="00557754" w:rsidP="000D7C46"/>
        </w:tc>
      </w:tr>
    </w:tbl>
    <w:p w14:paraId="09D59284" w14:textId="77777777" w:rsidR="00557754" w:rsidRDefault="00557754" w:rsidP="001501B1">
      <w:pPr>
        <w:pStyle w:val="Heading1"/>
        <w:ind w:firstLine="0"/>
      </w:pPr>
      <w:r w:rsidRPr="003D0779">
        <w:t>INTRODUCTION</w:t>
      </w:r>
    </w:p>
    <w:p w14:paraId="61627697" w14:textId="77777777" w:rsidR="007B27B9" w:rsidRDefault="007B27B9" w:rsidP="000D7C46">
      <w:r>
        <w:t xml:space="preserve">Defendants ask the court to dismiss </w:t>
      </w:r>
      <w:r w:rsidR="001B0324">
        <w:t xml:space="preserve">plaintiff’s complaint </w:t>
      </w:r>
      <w:r>
        <w:t xml:space="preserve">for failure to state a claim </w:t>
      </w:r>
      <w:r w:rsidR="001B0324">
        <w:t>upon</w:t>
      </w:r>
      <w:r>
        <w:t xml:space="preserve"> which relief </w:t>
      </w:r>
      <w:r w:rsidR="001B0324">
        <w:t>can</w:t>
      </w:r>
      <w:r>
        <w:t xml:space="preserve"> be </w:t>
      </w:r>
      <w:r w:rsidR="001B0324">
        <w:t>granted, pursuant to Federal Rule of Civil Procedure 12(b)(6).</w:t>
      </w:r>
      <w:r w:rsidR="008F0737">
        <w:t xml:space="preserve">  </w:t>
      </w:r>
      <w:r w:rsidR="00BD5312">
        <w:t xml:space="preserve">This memorandum in support of the motion to dismiss responds to the court’s order following the plaintiff’s complaint and the defendant’s answer.  </w:t>
      </w:r>
      <w:r w:rsidR="008F0737">
        <w:t xml:space="preserve">The issue </w:t>
      </w:r>
      <w:r w:rsidR="00BD5312">
        <w:t>before the court</w:t>
      </w:r>
      <w:r w:rsidR="003B2EBC">
        <w:t xml:space="preserve"> </w:t>
      </w:r>
      <w:r w:rsidR="008F0737">
        <w:t xml:space="preserve">is whether a signed writing must precede the creation of a copyrighted work </w:t>
      </w:r>
      <w:r w:rsidR="00674147">
        <w:t xml:space="preserve">for the </w:t>
      </w:r>
      <w:r w:rsidR="008F0737">
        <w:t xml:space="preserve">work </w:t>
      </w:r>
      <w:r w:rsidR="00674147">
        <w:t>to</w:t>
      </w:r>
      <w:r w:rsidR="008F0737">
        <w:t xml:space="preserve"> be considered </w:t>
      </w:r>
      <w:r w:rsidR="00674147">
        <w:t xml:space="preserve">“made for hire” as defined in 17 U.S.C. § 101(2).  </w:t>
      </w:r>
      <w:r w:rsidR="003B2EBC">
        <w:t>Because the signed</w:t>
      </w:r>
      <w:r w:rsidR="00674147">
        <w:t xml:space="preserve"> writing must precede the creation of the work, the court must dismiss the plaintiff’s claim as a matter of law. </w:t>
      </w:r>
    </w:p>
    <w:p w14:paraId="196C783E" w14:textId="77777777" w:rsidR="00557754" w:rsidRPr="003D0779" w:rsidRDefault="00557754" w:rsidP="001501B1">
      <w:pPr>
        <w:pStyle w:val="Heading1"/>
      </w:pPr>
      <w:r w:rsidRPr="003D0779">
        <w:t>FACTUAL BACKGROUND</w:t>
      </w:r>
    </w:p>
    <w:p w14:paraId="714D9FE3" w14:textId="77777777" w:rsidR="00557754" w:rsidRPr="00534F8B" w:rsidRDefault="00557754" w:rsidP="000D7C46">
      <w:r>
        <w:t>This case involves the following relevant undisputed facts.</w:t>
      </w:r>
    </w:p>
    <w:p w14:paraId="49FBBE9A" w14:textId="77777777" w:rsidR="00557754" w:rsidRPr="006E743E" w:rsidRDefault="00557754" w:rsidP="000D7C46">
      <w:pPr>
        <w:pStyle w:val="BodyText"/>
      </w:pPr>
      <w:r>
        <w:t xml:space="preserve">Elizabeth Lime is a successful and acclaimed screenwriter, whose writing in several disparate genres has received critical praise, including admiration from an officer of corporate plaintiff. (Complaint. ¶¶ 11, 20.)  </w:t>
      </w:r>
      <w:r w:rsidR="006E743E">
        <w:t xml:space="preserve">At all relevant times, OGS TV, Inc. and </w:t>
      </w:r>
      <w:proofErr w:type="spellStart"/>
      <w:r w:rsidR="006E743E">
        <w:t>TinyTV</w:t>
      </w:r>
      <w:proofErr w:type="spellEnd"/>
      <w:r w:rsidR="006E743E">
        <w:t xml:space="preserve">, Inc. have been and are now businesses incorporated in and duly qualified to do business in the State of Moot.  </w:t>
      </w:r>
      <w:proofErr w:type="gramStart"/>
      <w:r w:rsidR="006E743E">
        <w:rPr>
          <w:i/>
        </w:rPr>
        <w:t>Id.</w:t>
      </w:r>
      <w:r w:rsidR="006E743E">
        <w:t xml:space="preserve"> at ¶¶ 2, 3.</w:t>
      </w:r>
      <w:proofErr w:type="gramEnd"/>
      <w:r w:rsidR="006E743E">
        <w:rPr>
          <w:i/>
        </w:rPr>
        <w:t xml:space="preserve"> </w:t>
      </w:r>
    </w:p>
    <w:p w14:paraId="59CBEC97" w14:textId="77777777" w:rsidR="00557754" w:rsidRPr="00EB53CB" w:rsidRDefault="00557754" w:rsidP="000D7C46">
      <w:pPr>
        <w:pStyle w:val="BodyText"/>
        <w:rPr>
          <w:rStyle w:val="PageNumber"/>
          <w:snapToGrid/>
        </w:rPr>
      </w:pPr>
      <w:r>
        <w:lastRenderedPageBreak/>
        <w:t xml:space="preserve">Plaintiff </w:t>
      </w:r>
      <w:r w:rsidR="00657459">
        <w:t>declined</w:t>
      </w:r>
      <w:r>
        <w:t xml:space="preserve"> to produce one of </w:t>
      </w:r>
      <w:r w:rsidR="005A714C">
        <w:t xml:space="preserve">Ms. Lime’s scripts, </w:t>
      </w:r>
      <w:r w:rsidR="00AB7C90">
        <w:t xml:space="preserve">“Anticipatory Repudiation,” </w:t>
      </w:r>
      <w:r>
        <w:t xml:space="preserve">for its series </w:t>
      </w:r>
      <w:r>
        <w:rPr>
          <w:i/>
        </w:rPr>
        <w:t>Lawless Love</w:t>
      </w:r>
      <w:r>
        <w:t xml:space="preserve"> on the</w:t>
      </w:r>
      <w:r w:rsidR="003B2EBC">
        <w:t xml:space="preserve"> stated</w:t>
      </w:r>
      <w:r>
        <w:t xml:space="preserve"> grounds</w:t>
      </w:r>
      <w:r w:rsidR="003B2EBC">
        <w:t xml:space="preserve"> that</w:t>
      </w:r>
      <w:r>
        <w:t xml:space="preserve"> “</w:t>
      </w:r>
      <w:r w:rsidR="003B2EBC">
        <w:t xml:space="preserve">[the plaintiff was unhappy with] </w:t>
      </w:r>
      <w:r>
        <w:t xml:space="preserve">the quality of the screenplay,” that “the story [of the screenplay] did not fit the theme of the show,” and that “the submarine chase sequence, apart from being too expensive to film, was particularly wrong for </w:t>
      </w:r>
      <w:r>
        <w:rPr>
          <w:i/>
        </w:rPr>
        <w:t>Lawless Love</w:t>
      </w:r>
      <w:r>
        <w:t xml:space="preserve">.”  </w:t>
      </w:r>
      <w:proofErr w:type="gramStart"/>
      <w:r>
        <w:rPr>
          <w:i/>
        </w:rPr>
        <w:t>Id</w:t>
      </w:r>
      <w:r>
        <w:t xml:space="preserve">. at </w:t>
      </w:r>
      <w:r>
        <w:rPr>
          <w:rStyle w:val="PageNumber"/>
          <w:snapToGrid/>
        </w:rPr>
        <w:t>¶¶ 21, 26.</w:t>
      </w:r>
      <w:proofErr w:type="gramEnd"/>
      <w:r>
        <w:rPr>
          <w:rStyle w:val="PageNumber"/>
          <w:snapToGrid/>
        </w:rPr>
        <w:t xml:space="preserve">  </w:t>
      </w:r>
      <w:r w:rsidR="00AB7C90">
        <w:rPr>
          <w:rStyle w:val="PageNumber"/>
          <w:snapToGrid/>
        </w:rPr>
        <w:t>Plaintiff employs eight writers</w:t>
      </w:r>
      <w:r w:rsidR="003B2EBC">
        <w:rPr>
          <w:rStyle w:val="PageNumber"/>
          <w:snapToGrid/>
        </w:rPr>
        <w:t>, who, prior to April 2010, had</w:t>
      </w:r>
      <w:r w:rsidR="00200E7B">
        <w:rPr>
          <w:rStyle w:val="PageNumber"/>
          <w:snapToGrid/>
        </w:rPr>
        <w:t xml:space="preserve"> prepared </w:t>
      </w:r>
      <w:r w:rsidR="00AB7C90">
        <w:rPr>
          <w:rStyle w:val="PageNumber"/>
          <w:snapToGrid/>
        </w:rPr>
        <w:t xml:space="preserve">the </w:t>
      </w:r>
      <w:r>
        <w:rPr>
          <w:rStyle w:val="PageNumber"/>
          <w:snapToGrid/>
        </w:rPr>
        <w:t xml:space="preserve">screenplays </w:t>
      </w:r>
      <w:r w:rsidR="00AB7C90">
        <w:rPr>
          <w:rStyle w:val="PageNumber"/>
          <w:snapToGrid/>
        </w:rPr>
        <w:t>of</w:t>
      </w:r>
      <w:r w:rsidR="003D0779">
        <w:rPr>
          <w:rStyle w:val="PageNumber"/>
          <w:snapToGrid/>
        </w:rPr>
        <w:t xml:space="preserve"> all thirty-nine</w:t>
      </w:r>
      <w:r>
        <w:rPr>
          <w:rStyle w:val="PageNumber"/>
          <w:snapToGrid/>
        </w:rPr>
        <w:t xml:space="preserve"> episode</w:t>
      </w:r>
      <w:r w:rsidR="003D0779">
        <w:rPr>
          <w:rStyle w:val="PageNumber"/>
          <w:snapToGrid/>
        </w:rPr>
        <w:t>s</w:t>
      </w:r>
      <w:r>
        <w:rPr>
          <w:rStyle w:val="PageNumber"/>
          <w:snapToGrid/>
        </w:rPr>
        <w:t xml:space="preserve"> of </w:t>
      </w:r>
      <w:r>
        <w:rPr>
          <w:rStyle w:val="PageNumber"/>
          <w:i/>
          <w:snapToGrid/>
        </w:rPr>
        <w:t>Lawless Love</w:t>
      </w:r>
      <w:r>
        <w:rPr>
          <w:rStyle w:val="PageNumber"/>
          <w:snapToGrid/>
        </w:rPr>
        <w:t xml:space="preserve">, which is a </w:t>
      </w:r>
      <w:r w:rsidR="003D0779">
        <w:rPr>
          <w:rStyle w:val="PageNumber"/>
          <w:snapToGrid/>
        </w:rPr>
        <w:t>“</w:t>
      </w:r>
      <w:r>
        <w:rPr>
          <w:rStyle w:val="PageNumber"/>
          <w:snapToGrid/>
        </w:rPr>
        <w:t xml:space="preserve">romantic </w:t>
      </w:r>
      <w:proofErr w:type="spellStart"/>
      <w:r>
        <w:rPr>
          <w:rStyle w:val="PageNumber"/>
          <w:snapToGrid/>
        </w:rPr>
        <w:t>dramedy</w:t>
      </w:r>
      <w:proofErr w:type="spellEnd"/>
      <w:r>
        <w:rPr>
          <w:rStyle w:val="PageNumber"/>
          <w:snapToGrid/>
        </w:rPr>
        <w:t xml:space="preserve"> chronicling the quirky, charming, exciting, and all-together perfect lives of young attorneys.</w:t>
      </w:r>
      <w:r w:rsidR="003D0779">
        <w:rPr>
          <w:rStyle w:val="PageNumber"/>
          <w:snapToGrid/>
        </w:rPr>
        <w:t>”</w:t>
      </w:r>
      <w:r>
        <w:rPr>
          <w:rStyle w:val="PageNumber"/>
          <w:snapToGrid/>
        </w:rPr>
        <w:t xml:space="preserve">   </w:t>
      </w:r>
      <w:proofErr w:type="gramStart"/>
      <w:r>
        <w:rPr>
          <w:rStyle w:val="PageNumber"/>
          <w:i/>
          <w:snapToGrid/>
        </w:rPr>
        <w:t xml:space="preserve">Id. </w:t>
      </w:r>
      <w:r>
        <w:rPr>
          <w:rStyle w:val="PageNumber"/>
          <w:snapToGrid/>
        </w:rPr>
        <w:t>at ¶¶ 5, 8.</w:t>
      </w:r>
      <w:proofErr w:type="gramEnd"/>
      <w:r w:rsidR="003D0779">
        <w:rPr>
          <w:rStyle w:val="PageNumber"/>
          <w:snapToGrid/>
        </w:rPr>
        <w:t xml:space="preserve">  </w:t>
      </w:r>
    </w:p>
    <w:p w14:paraId="7F40441A" w14:textId="77777777" w:rsidR="00557754" w:rsidRDefault="00557754" w:rsidP="000D7C46">
      <w:pPr>
        <w:pStyle w:val="BodyText"/>
        <w:rPr>
          <w:rStyle w:val="PageNumber"/>
          <w:snapToGrid/>
        </w:rPr>
      </w:pPr>
      <w:r>
        <w:rPr>
          <w:rStyle w:val="PageNumber"/>
          <w:snapToGrid/>
        </w:rPr>
        <w:t xml:space="preserve">In August, 2010 Elizabeth Lime </w:t>
      </w:r>
      <w:proofErr w:type="gramStart"/>
      <w:r>
        <w:rPr>
          <w:rStyle w:val="PageNumber"/>
          <w:snapToGrid/>
        </w:rPr>
        <w:t xml:space="preserve">and  </w:t>
      </w:r>
      <w:proofErr w:type="spellStart"/>
      <w:r>
        <w:rPr>
          <w:rStyle w:val="PageNumber"/>
          <w:snapToGrid/>
        </w:rPr>
        <w:t>TinyTV</w:t>
      </w:r>
      <w:proofErr w:type="spellEnd"/>
      <w:proofErr w:type="gramEnd"/>
      <w:r>
        <w:rPr>
          <w:rStyle w:val="PageNumber"/>
          <w:snapToGrid/>
        </w:rPr>
        <w:t xml:space="preserve"> created a new television series, </w:t>
      </w:r>
      <w:r>
        <w:rPr>
          <w:rStyle w:val="PageNumber"/>
          <w:i/>
          <w:snapToGrid/>
        </w:rPr>
        <w:t>The Tin Can</w:t>
      </w:r>
      <w:r w:rsidR="005A714C">
        <w:rPr>
          <w:rStyle w:val="PageNumber"/>
          <w:snapToGrid/>
        </w:rPr>
        <w:t>, and produced a pilot episode,</w:t>
      </w:r>
      <w:r w:rsidR="003C76BA">
        <w:rPr>
          <w:rStyle w:val="PageNumber"/>
          <w:snapToGrid/>
        </w:rPr>
        <w:t xml:space="preserve"> </w:t>
      </w:r>
      <w:r>
        <w:rPr>
          <w:rStyle w:val="PageNumber"/>
          <w:snapToGrid/>
        </w:rPr>
        <w:t xml:space="preserve">“The Love Below,” which aired on </w:t>
      </w:r>
      <w:proofErr w:type="spellStart"/>
      <w:r>
        <w:rPr>
          <w:rStyle w:val="PageNumber"/>
          <w:snapToGrid/>
        </w:rPr>
        <w:t>TinyTV’s</w:t>
      </w:r>
      <w:proofErr w:type="spellEnd"/>
      <w:r>
        <w:rPr>
          <w:rStyle w:val="PageNumber"/>
          <w:snapToGrid/>
        </w:rPr>
        <w:t xml:space="preserve"> cable television channel on September 7, 2010.  </w:t>
      </w:r>
      <w:proofErr w:type="gramStart"/>
      <w:r>
        <w:rPr>
          <w:rStyle w:val="PageNumber"/>
          <w:i/>
          <w:snapToGrid/>
        </w:rPr>
        <w:t xml:space="preserve">Id. </w:t>
      </w:r>
      <w:r>
        <w:rPr>
          <w:rStyle w:val="PageNumber"/>
          <w:snapToGrid/>
        </w:rPr>
        <w:t>at ¶¶ 27-29.</w:t>
      </w:r>
      <w:proofErr w:type="gramEnd"/>
      <w:r>
        <w:rPr>
          <w:rStyle w:val="PageNumber"/>
          <w:i/>
          <w:snapToGrid/>
        </w:rPr>
        <w:t xml:space="preserve"> </w:t>
      </w:r>
      <w:r>
        <w:rPr>
          <w:rStyle w:val="PageNumber"/>
          <w:snapToGrid/>
        </w:rPr>
        <w:t xml:space="preserve">  </w:t>
      </w:r>
      <w:r>
        <w:rPr>
          <w:rStyle w:val="PageNumber"/>
          <w:i/>
          <w:snapToGrid/>
        </w:rPr>
        <w:t xml:space="preserve">The Tin Can </w:t>
      </w:r>
      <w:r>
        <w:rPr>
          <w:rStyle w:val="PageNumber"/>
          <w:snapToGrid/>
        </w:rPr>
        <w:t>is a gritty psychological comedy about a submarine crew.</w:t>
      </w:r>
      <w:r>
        <w:rPr>
          <w:rStyle w:val="PageNumber"/>
          <w:i/>
          <w:snapToGrid/>
        </w:rPr>
        <w:t xml:space="preserve">  </w:t>
      </w:r>
      <w:proofErr w:type="gramStart"/>
      <w:r>
        <w:rPr>
          <w:rStyle w:val="PageNumber"/>
          <w:i/>
          <w:snapToGrid/>
        </w:rPr>
        <w:t xml:space="preserve">Id. </w:t>
      </w:r>
      <w:r>
        <w:rPr>
          <w:rStyle w:val="PageNumber"/>
          <w:snapToGrid/>
        </w:rPr>
        <w:t>at ¶ 27.</w:t>
      </w:r>
      <w:proofErr w:type="gramEnd"/>
      <w:r>
        <w:rPr>
          <w:rStyle w:val="PageNumber"/>
          <w:snapToGrid/>
        </w:rPr>
        <w:t xml:space="preserve"> </w:t>
      </w:r>
    </w:p>
    <w:p w14:paraId="5F81A52F" w14:textId="77777777" w:rsidR="00557754" w:rsidRPr="00C66128" w:rsidRDefault="00557754" w:rsidP="000D7C46">
      <w:pPr>
        <w:pStyle w:val="BodyText"/>
        <w:rPr>
          <w:rStyle w:val="PageNumber"/>
          <w:snapToGrid/>
        </w:rPr>
      </w:pPr>
      <w:r>
        <w:rPr>
          <w:rStyle w:val="PageNumber"/>
          <w:snapToGrid/>
        </w:rPr>
        <w:t xml:space="preserve">Each screenplay of </w:t>
      </w:r>
      <w:r>
        <w:rPr>
          <w:rStyle w:val="PageNumber"/>
          <w:i/>
          <w:snapToGrid/>
        </w:rPr>
        <w:t xml:space="preserve">Lawless Love </w:t>
      </w:r>
      <w:r>
        <w:rPr>
          <w:rStyle w:val="PageNumber"/>
          <w:snapToGrid/>
        </w:rPr>
        <w:t xml:space="preserve">contains original features, including its particular premise, setting, characters, dialogue, and story.  </w:t>
      </w:r>
      <w:proofErr w:type="gramStart"/>
      <w:r>
        <w:rPr>
          <w:rStyle w:val="PageNumber"/>
          <w:i/>
          <w:snapToGrid/>
        </w:rPr>
        <w:t xml:space="preserve">Id. </w:t>
      </w:r>
      <w:r>
        <w:rPr>
          <w:rStyle w:val="PageNumber"/>
          <w:snapToGrid/>
        </w:rPr>
        <w:t>at ¶ 7.</w:t>
      </w:r>
      <w:proofErr w:type="gramEnd"/>
      <w:r>
        <w:rPr>
          <w:rStyle w:val="PageNumber"/>
          <w:snapToGrid/>
        </w:rPr>
        <w:t xml:space="preserve">  “Anticipatory Repudiation” and “The Love Below” contain identical dialogue, characters and storylines, but the setting, premise of the show, names and occupations of the characters differ.  </w:t>
      </w:r>
      <w:proofErr w:type="gramStart"/>
      <w:r>
        <w:rPr>
          <w:rStyle w:val="PageNumber"/>
          <w:i/>
          <w:snapToGrid/>
        </w:rPr>
        <w:t xml:space="preserve">Id. </w:t>
      </w:r>
      <w:r>
        <w:rPr>
          <w:rStyle w:val="PageNumber"/>
          <w:snapToGrid/>
        </w:rPr>
        <w:t>at ¶ 31.</w:t>
      </w:r>
      <w:proofErr w:type="gramEnd"/>
    </w:p>
    <w:p w14:paraId="0BAAF324" w14:textId="77777777" w:rsidR="00557754" w:rsidRDefault="00557754" w:rsidP="000D7C46">
      <w:pPr>
        <w:pStyle w:val="BodyText"/>
        <w:rPr>
          <w:rStyle w:val="PageNumber"/>
          <w:snapToGrid/>
        </w:rPr>
      </w:pPr>
      <w:r>
        <w:rPr>
          <w:rStyle w:val="PageNumber"/>
          <w:snapToGrid/>
        </w:rPr>
        <w:t xml:space="preserve">Plaintiff </w:t>
      </w:r>
      <w:r w:rsidR="005A714C">
        <w:rPr>
          <w:rStyle w:val="PageNumber"/>
          <w:snapToGrid/>
        </w:rPr>
        <w:t>met with</w:t>
      </w:r>
      <w:r>
        <w:rPr>
          <w:rStyle w:val="PageNumber"/>
          <w:snapToGrid/>
        </w:rPr>
        <w:t xml:space="preserve"> Ms. Lime on March 27, 2010, and in that conversation solicited from her a screenplay for its television series </w:t>
      </w:r>
      <w:r>
        <w:rPr>
          <w:rStyle w:val="PageNumber"/>
          <w:i/>
          <w:snapToGrid/>
        </w:rPr>
        <w:t>Lawless Love</w:t>
      </w:r>
      <w:r>
        <w:rPr>
          <w:rStyle w:val="PageNumber"/>
          <w:snapToGrid/>
        </w:rPr>
        <w:t xml:space="preserve">.  </w:t>
      </w:r>
      <w:proofErr w:type="gramStart"/>
      <w:r>
        <w:rPr>
          <w:rStyle w:val="PageNumber"/>
          <w:i/>
          <w:snapToGrid/>
        </w:rPr>
        <w:t xml:space="preserve">Id. </w:t>
      </w:r>
      <w:r>
        <w:rPr>
          <w:rStyle w:val="PageNumber"/>
          <w:snapToGrid/>
        </w:rPr>
        <w:t>at ¶¶ 12-15.</w:t>
      </w:r>
      <w:proofErr w:type="gramEnd"/>
      <w:r>
        <w:rPr>
          <w:rStyle w:val="PageNumber"/>
          <w:snapToGrid/>
        </w:rPr>
        <w:t xml:space="preserve">  During that conversation, David Nelson, who is the executive producer for the </w:t>
      </w:r>
      <w:r w:rsidR="006E743E">
        <w:rPr>
          <w:rStyle w:val="PageNumber"/>
          <w:snapToGrid/>
        </w:rPr>
        <w:t>p</w:t>
      </w:r>
      <w:r>
        <w:rPr>
          <w:rStyle w:val="PageNumber"/>
          <w:snapToGrid/>
        </w:rPr>
        <w:t>laintiff</w:t>
      </w:r>
      <w:r w:rsidR="006E743E">
        <w:rPr>
          <w:rStyle w:val="PageNumber"/>
          <w:snapToGrid/>
        </w:rPr>
        <w:t xml:space="preserve"> corporation</w:t>
      </w:r>
      <w:r>
        <w:rPr>
          <w:rStyle w:val="PageNumber"/>
          <w:snapToGrid/>
        </w:rPr>
        <w:t xml:space="preserve">, </w:t>
      </w:r>
      <w:r w:rsidR="006E743E">
        <w:rPr>
          <w:rStyle w:val="PageNumber"/>
          <w:snapToGrid/>
        </w:rPr>
        <w:t>said</w:t>
      </w:r>
      <w:r>
        <w:rPr>
          <w:rStyle w:val="PageNumber"/>
          <w:snapToGrid/>
        </w:rPr>
        <w:t xml:space="preserve"> the following: “Your wor</w:t>
      </w:r>
      <w:r w:rsidR="00AB7C90">
        <w:rPr>
          <w:rStyle w:val="PageNumber"/>
          <w:snapToGrid/>
        </w:rPr>
        <w:t>k on the screenplay is for hire</w:t>
      </w:r>
      <w:r w:rsidR="006E743E">
        <w:rPr>
          <w:rStyle w:val="PageNumber"/>
          <w:snapToGrid/>
        </w:rPr>
        <w:t xml:space="preserve">.  </w:t>
      </w:r>
      <w:r>
        <w:rPr>
          <w:rStyle w:val="PageNumber"/>
          <w:snapToGrid/>
        </w:rPr>
        <w:t>For all intents and</w:t>
      </w:r>
      <w:r w:rsidR="006E743E">
        <w:rPr>
          <w:rStyle w:val="PageNumber"/>
          <w:snapToGrid/>
        </w:rPr>
        <w:t xml:space="preserve"> purposes, we’ll be the </w:t>
      </w:r>
      <w:proofErr w:type="gramStart"/>
      <w:r w:rsidR="006E743E">
        <w:rPr>
          <w:rStyle w:val="PageNumber"/>
          <w:snapToGrid/>
        </w:rPr>
        <w:t>author</w:t>
      </w:r>
      <w:proofErr w:type="gramEnd"/>
      <w:r w:rsidR="006E743E">
        <w:rPr>
          <w:rStyle w:val="PageNumber"/>
          <w:snapToGrid/>
        </w:rPr>
        <w:t xml:space="preserve">.  </w:t>
      </w:r>
      <w:r>
        <w:rPr>
          <w:rStyle w:val="PageNumber"/>
          <w:snapToGrid/>
        </w:rPr>
        <w:t>Do you under</w:t>
      </w:r>
      <w:r w:rsidR="006E743E">
        <w:rPr>
          <w:rStyle w:val="PageNumber"/>
          <w:snapToGrid/>
        </w:rPr>
        <w:t>stand, and is that OK with you?”</w:t>
      </w:r>
      <w:r>
        <w:rPr>
          <w:rStyle w:val="PageNumber"/>
          <w:snapToGrid/>
        </w:rPr>
        <w:t xml:space="preserve">  </w:t>
      </w:r>
      <w:proofErr w:type="gramStart"/>
      <w:r>
        <w:rPr>
          <w:rStyle w:val="PageNumber"/>
          <w:i/>
          <w:snapToGrid/>
        </w:rPr>
        <w:t xml:space="preserve">Id. </w:t>
      </w:r>
      <w:r>
        <w:rPr>
          <w:rStyle w:val="PageNumber"/>
          <w:snapToGrid/>
        </w:rPr>
        <w:t>at ¶ 16.</w:t>
      </w:r>
      <w:proofErr w:type="gramEnd"/>
      <w:r>
        <w:rPr>
          <w:rStyle w:val="PageNumber"/>
          <w:snapToGrid/>
        </w:rPr>
        <w:t xml:space="preserve">  </w:t>
      </w:r>
      <w:r w:rsidR="006E743E">
        <w:rPr>
          <w:rStyle w:val="PageNumber"/>
          <w:snapToGrid/>
        </w:rPr>
        <w:t xml:space="preserve">In response </w:t>
      </w:r>
      <w:r>
        <w:rPr>
          <w:rStyle w:val="PageNumber"/>
          <w:snapToGrid/>
        </w:rPr>
        <w:t xml:space="preserve">Ms. Lime </w:t>
      </w:r>
      <w:r w:rsidR="006E743E">
        <w:rPr>
          <w:rStyle w:val="PageNumber"/>
          <w:snapToGrid/>
        </w:rPr>
        <w:t>said</w:t>
      </w:r>
      <w:r w:rsidR="00200E7B">
        <w:rPr>
          <w:rStyle w:val="PageNumber"/>
          <w:snapToGrid/>
        </w:rPr>
        <w:t>, “yes.”</w:t>
      </w:r>
      <w:r>
        <w:rPr>
          <w:rStyle w:val="PageNumber"/>
          <w:snapToGrid/>
        </w:rPr>
        <w:t xml:space="preserve">  </w:t>
      </w:r>
      <w:proofErr w:type="gramStart"/>
      <w:r>
        <w:rPr>
          <w:rStyle w:val="PageNumber"/>
          <w:i/>
          <w:snapToGrid/>
        </w:rPr>
        <w:t xml:space="preserve">Id. </w:t>
      </w:r>
      <w:r>
        <w:rPr>
          <w:rStyle w:val="PageNumber"/>
          <w:snapToGrid/>
        </w:rPr>
        <w:t>at ¶ 17.</w:t>
      </w:r>
      <w:proofErr w:type="gramEnd"/>
      <w:r>
        <w:rPr>
          <w:rStyle w:val="PageNumber"/>
          <w:snapToGrid/>
        </w:rPr>
        <w:t xml:space="preserve">  </w:t>
      </w:r>
    </w:p>
    <w:p w14:paraId="383E513E" w14:textId="77777777" w:rsidR="006E743E" w:rsidRDefault="00557754" w:rsidP="000D7C46">
      <w:pPr>
        <w:pStyle w:val="BodyText"/>
      </w:pPr>
      <w:r>
        <w:rPr>
          <w:rStyle w:val="PageNumber"/>
          <w:snapToGrid/>
        </w:rPr>
        <w:t xml:space="preserve"> </w:t>
      </w:r>
      <w:r w:rsidR="00834511">
        <w:rPr>
          <w:rStyle w:val="PageNumber"/>
          <w:snapToGrid/>
        </w:rPr>
        <w:t xml:space="preserve">On </w:t>
      </w:r>
      <w:r w:rsidR="00834511">
        <w:t xml:space="preserve">April 1, 2010, </w:t>
      </w:r>
      <w:r w:rsidR="00834511">
        <w:rPr>
          <w:rStyle w:val="PageNumber"/>
          <w:snapToGrid/>
        </w:rPr>
        <w:t>f</w:t>
      </w:r>
      <w:r>
        <w:rPr>
          <w:rStyle w:val="PageNumber"/>
          <w:snapToGrid/>
        </w:rPr>
        <w:t>ive days after that conversation between Mr. Nelson and Ms. Lime</w:t>
      </w:r>
      <w:proofErr w:type="gramStart"/>
      <w:r>
        <w:rPr>
          <w:rStyle w:val="PageNumber"/>
          <w:snapToGrid/>
        </w:rPr>
        <w:t xml:space="preserve">, </w:t>
      </w:r>
      <w:r>
        <w:t xml:space="preserve"> </w:t>
      </w:r>
      <w:r>
        <w:lastRenderedPageBreak/>
        <w:t>Ms</w:t>
      </w:r>
      <w:proofErr w:type="gramEnd"/>
      <w:r>
        <w:t xml:space="preserve">. Lime submitted the screenplay, “Anticipatory Repudiation” to plaintiff. </w:t>
      </w:r>
      <w:proofErr w:type="gramStart"/>
      <w:r w:rsidRPr="005A0748">
        <w:rPr>
          <w:i/>
        </w:rPr>
        <w:t>Id.</w:t>
      </w:r>
      <w:r>
        <w:rPr>
          <w:i/>
        </w:rPr>
        <w:t xml:space="preserve"> </w:t>
      </w:r>
      <w:r w:rsidR="002958A1">
        <w:t>at ¶ 21.</w:t>
      </w:r>
      <w:proofErr w:type="gramEnd"/>
      <w:r w:rsidR="002958A1">
        <w:t xml:space="preserve">  </w:t>
      </w:r>
    </w:p>
    <w:p w14:paraId="49BF94F5" w14:textId="77777777" w:rsidR="00557754" w:rsidRDefault="002958A1" w:rsidP="000D7C46">
      <w:pPr>
        <w:pStyle w:val="BodyText"/>
      </w:pPr>
      <w:r>
        <w:t>On April 6, 2010,</w:t>
      </w:r>
      <w:r w:rsidR="00557754">
        <w:t xml:space="preserve"> Ms. Lime was presented with (and </w:t>
      </w:r>
      <w:r>
        <w:t>signed, alongside</w:t>
      </w:r>
      <w:r w:rsidR="00557754">
        <w:t xml:space="preserve"> Dave Nelson) a document labeled “Work-Made-For-Hire Agreement” and a check for $6,000.  </w:t>
      </w:r>
      <w:proofErr w:type="gramStart"/>
      <w:r w:rsidR="00557754">
        <w:rPr>
          <w:i/>
        </w:rPr>
        <w:t xml:space="preserve">Id. </w:t>
      </w:r>
      <w:r w:rsidR="00557754">
        <w:t>at ¶ 24.</w:t>
      </w:r>
      <w:proofErr w:type="gramEnd"/>
      <w:r w:rsidR="00557754">
        <w:t xml:space="preserve"> </w:t>
      </w:r>
    </w:p>
    <w:p w14:paraId="55C26840" w14:textId="77777777" w:rsidR="00557754" w:rsidRDefault="00984207" w:rsidP="000D7C46">
      <w:pPr>
        <w:pStyle w:val="BodyText"/>
      </w:pPr>
      <w:r>
        <w:t>On June 1, 2010, when</w:t>
      </w:r>
      <w:r w:rsidR="00557754">
        <w:t xml:space="preserve"> the </w:t>
      </w:r>
      <w:r w:rsidR="006E743E">
        <w:t>2010 spring television</w:t>
      </w:r>
      <w:r w:rsidR="00557754">
        <w:t xml:space="preserve"> season had passed without a </w:t>
      </w:r>
      <w:r>
        <w:t xml:space="preserve">performance of Ms. Lime’s screenplay, </w:t>
      </w:r>
      <w:r w:rsidR="006E743E">
        <w:t>plaintiff</w:t>
      </w:r>
      <w:r w:rsidR="00557754">
        <w:t xml:space="preserve"> </w:t>
      </w:r>
      <w:r>
        <w:t xml:space="preserve">told Ms. Lime </w:t>
      </w:r>
      <w:r w:rsidR="00557754">
        <w:t xml:space="preserve">that </w:t>
      </w:r>
      <w:r>
        <w:t>“Anticipatory Repudiation</w:t>
      </w:r>
      <w:r w:rsidR="00AB7C90">
        <w:t>” would not be produced for plaintiff’s show for the reasons noted above.</w:t>
      </w:r>
      <w:r w:rsidR="00557754">
        <w:t xml:space="preserve">  </w:t>
      </w:r>
      <w:proofErr w:type="gramStart"/>
      <w:r w:rsidR="00557754">
        <w:rPr>
          <w:i/>
        </w:rPr>
        <w:t xml:space="preserve">Id. </w:t>
      </w:r>
      <w:r w:rsidR="00557754">
        <w:t>at ¶ 26.</w:t>
      </w:r>
      <w:proofErr w:type="gramEnd"/>
    </w:p>
    <w:p w14:paraId="1E2632A6" w14:textId="77777777" w:rsidR="00200E7B" w:rsidRPr="00283FE2" w:rsidRDefault="00200E7B" w:rsidP="000D7C46">
      <w:pPr>
        <w:pStyle w:val="BodyText"/>
      </w:pPr>
    </w:p>
    <w:p w14:paraId="3A71C426" w14:textId="77777777" w:rsidR="00557754" w:rsidRDefault="00557754" w:rsidP="000D7C46">
      <w:pPr>
        <w:pStyle w:val="Heading1"/>
      </w:pPr>
      <w:r w:rsidRPr="00200E7B">
        <w:t>ARGUMENT</w:t>
      </w:r>
    </w:p>
    <w:p w14:paraId="397EC856" w14:textId="77777777" w:rsidR="00BF1324" w:rsidRPr="00BF1324" w:rsidRDefault="00BF1324" w:rsidP="003C76BA">
      <w:pPr>
        <w:spacing w:after="240"/>
      </w:pPr>
      <w:r>
        <w:t xml:space="preserve">The Plaintiff’s complaint should be dismissed for failure to state a claim upon which relief can be granted, because </w:t>
      </w:r>
      <w:r w:rsidR="00DB489E">
        <w:t xml:space="preserve">the Copyright Act of </w:t>
      </w:r>
      <w:proofErr w:type="gramStart"/>
      <w:r w:rsidR="00DB489E">
        <w:t xml:space="preserve">1976 </w:t>
      </w:r>
      <w:r w:rsidR="00403826">
        <w:t>,</w:t>
      </w:r>
      <w:proofErr w:type="gramEnd"/>
      <w:r w:rsidR="00403826">
        <w:t xml:space="preserve"> U.S.C. Title 17 </w:t>
      </w:r>
      <w:r w:rsidR="00DB489E">
        <w:t>contains</w:t>
      </w:r>
      <w:r>
        <w:t xml:space="preserve"> a statute of frauds provision that requires a signed writing come before the creation of a work for hire.  There is some disagreement among the courts as to whether the statutory language creates a bright-line rule or a standard.  The Court should adopt the bright-line rule, because it better serves public policy.</w:t>
      </w:r>
    </w:p>
    <w:p w14:paraId="4FD85F9C" w14:textId="77777777" w:rsidR="00200E7B" w:rsidRDefault="00D24AA0" w:rsidP="00D24AA0">
      <w:pPr>
        <w:pStyle w:val="Heading2"/>
      </w:pPr>
      <w:r w:rsidRPr="00D24AA0">
        <w:t xml:space="preserve">I. </w:t>
      </w:r>
      <w:r w:rsidRPr="00D24AA0">
        <w:tab/>
      </w:r>
      <w:r w:rsidR="00DB1F65" w:rsidRPr="00D24AA0">
        <w:t>PLAINTIFF’S COMPLAINT SHOULD BE DISMISSED FOR FAILURE TO STATE A CLAIM.</w:t>
      </w:r>
    </w:p>
    <w:p w14:paraId="3AD8D1BE" w14:textId="77777777" w:rsidR="00D24AA0" w:rsidRPr="00D24AA0" w:rsidRDefault="00D24AA0" w:rsidP="00D24AA0"/>
    <w:p w14:paraId="2AF33958" w14:textId="77777777" w:rsidR="00AF7062" w:rsidRDefault="00D24AA0" w:rsidP="005D6A4A">
      <w:r>
        <w:t xml:space="preserve">In order for Plaintiff to assert a valid claim for copyright infringement, it must establish ownership rights to Elizabeth Lime’s screenplay, “Anticipatory Repudiation” under the theory that it was created as a “work made for hire.”  The facts of this case, as alleged in the complaint, do not satisfy the legal requirements for a “work made for hire” as </w:t>
      </w:r>
      <w:r w:rsidR="00167450">
        <w:t xml:space="preserve">defined in </w:t>
      </w:r>
      <w:r w:rsidR="003C76BA">
        <w:t>the Copyright Act</w:t>
      </w:r>
      <w:r w:rsidR="00DB489E">
        <w:t xml:space="preserve"> of 1976</w:t>
      </w:r>
      <w:r w:rsidR="003C76BA">
        <w:t xml:space="preserve"> </w:t>
      </w:r>
      <w:r w:rsidR="00403826">
        <w:t>17 U.S.C. § 101(2) (2006)</w:t>
      </w:r>
      <w:r w:rsidR="00167450">
        <w:t xml:space="preserve">, </w:t>
      </w:r>
      <w:r w:rsidR="005F7B14">
        <w:t>because</w:t>
      </w:r>
      <w:r w:rsidR="00167450">
        <w:t xml:space="preserve"> a written “work-made-for-hire agreement” signed after the completion of the screenplay is invalid.  </w:t>
      </w:r>
      <w:r w:rsidR="005F7B14">
        <w:t>Furthermore</w:t>
      </w:r>
      <w:r w:rsidR="00167450">
        <w:t xml:space="preserve">, </w:t>
      </w:r>
      <w:r w:rsidR="005F7B14">
        <w:t>even if parties w</w:t>
      </w:r>
      <w:r w:rsidR="005D6A4A">
        <w:t xml:space="preserve">ere able, after the </w:t>
      </w:r>
      <w:r w:rsidR="005D6A4A">
        <w:lastRenderedPageBreak/>
        <w:t xml:space="preserve">creation of the work, </w:t>
      </w:r>
      <w:r w:rsidR="006F270D">
        <w:t>to ratify in writing a prior</w:t>
      </w:r>
      <w:r w:rsidR="005F7B14">
        <w:t xml:space="preserve"> oral work-made-for-hire agreement, the</w:t>
      </w:r>
      <w:r w:rsidR="00167450">
        <w:t xml:space="preserve"> </w:t>
      </w:r>
      <w:r w:rsidR="005F7B14">
        <w:t>evidence for a</w:t>
      </w:r>
      <w:r w:rsidR="00167450">
        <w:t xml:space="preserve"> </w:t>
      </w:r>
      <w:r w:rsidR="005F7B14">
        <w:t xml:space="preserve">prior </w:t>
      </w:r>
      <w:r w:rsidR="00167450">
        <w:t xml:space="preserve">oral agreement </w:t>
      </w:r>
      <w:r w:rsidR="005F7B14">
        <w:t xml:space="preserve">in this case </w:t>
      </w:r>
      <w:r w:rsidR="00167450">
        <w:t xml:space="preserve">is insufficient.  </w:t>
      </w:r>
      <w:r w:rsidR="00F20763">
        <w:t>Finally</w:t>
      </w:r>
      <w:r w:rsidR="00167450">
        <w:t xml:space="preserve">, </w:t>
      </w:r>
      <w:r w:rsidR="006F270D">
        <w:t>the facts of this case are fundamentally distinguishable from those facts where ratification of oral agreements has been sufficient</w:t>
      </w:r>
      <w:r w:rsidR="00167450">
        <w:t>.</w:t>
      </w:r>
      <w:r w:rsidR="00AF7062">
        <w:t xml:space="preserve">  For </w:t>
      </w:r>
      <w:r w:rsidR="003C76BA">
        <w:t xml:space="preserve">all of </w:t>
      </w:r>
      <w:r w:rsidR="00AF7062">
        <w:t xml:space="preserve">these reasons, “Anticipatory Repudiation” </w:t>
      </w:r>
      <w:r w:rsidR="003C76BA">
        <w:t>does not meet</w:t>
      </w:r>
      <w:r w:rsidR="00AF7062">
        <w:t xml:space="preserve"> the legal requirements </w:t>
      </w:r>
      <w:r w:rsidR="003C76BA">
        <w:t>of a “work made for hire</w:t>
      </w:r>
      <w:r w:rsidR="00AF7062">
        <w:t>”</w:t>
      </w:r>
      <w:r w:rsidR="003C76BA">
        <w:t xml:space="preserve"> pursuant to </w:t>
      </w:r>
      <w:r w:rsidR="00DB489E">
        <w:t xml:space="preserve">the Copyright Act of </w:t>
      </w:r>
      <w:r w:rsidR="00403826">
        <w:t>1976 17 U.S.C. § 101(2) (2006)</w:t>
      </w:r>
      <w:r w:rsidR="003C76BA">
        <w:t>.</w:t>
      </w:r>
      <w:r w:rsidR="00AF7062">
        <w:t xml:space="preserve">  Because </w:t>
      </w:r>
      <w:r w:rsidR="001501B1">
        <w:t>P</w:t>
      </w:r>
      <w:r w:rsidR="00AF7062">
        <w:t>laintiff’s facts fail to establish that</w:t>
      </w:r>
      <w:r w:rsidR="006F270D">
        <w:t>, as an issue of law,</w:t>
      </w:r>
      <w:r w:rsidR="00AF7062">
        <w:t xml:space="preserve"> </w:t>
      </w:r>
      <w:r w:rsidR="005F7B14">
        <w:t>the screenplay</w:t>
      </w:r>
      <w:r w:rsidR="00AF7062">
        <w:t xml:space="preserve"> was created as a “work made for hire,”</w:t>
      </w:r>
      <w:r w:rsidR="00F20763">
        <w:t xml:space="preserve"> </w:t>
      </w:r>
      <w:r w:rsidR="00AF7062">
        <w:t xml:space="preserve">the </w:t>
      </w:r>
      <w:r w:rsidR="001501B1">
        <w:t xml:space="preserve">Court should grant </w:t>
      </w:r>
      <w:r w:rsidR="00AF7062">
        <w:t>Defendants’</w:t>
      </w:r>
      <w:r w:rsidR="001501B1">
        <w:t xml:space="preserve"> motion to dismiss Plaintiff’s complaint.</w:t>
      </w:r>
    </w:p>
    <w:p w14:paraId="4FEBBE35" w14:textId="77777777" w:rsidR="007A7380" w:rsidRDefault="00F20763" w:rsidP="003C76BA">
      <w:pPr>
        <w:pStyle w:val="Heading3"/>
        <w:numPr>
          <w:ilvl w:val="0"/>
          <w:numId w:val="7"/>
        </w:numPr>
        <w:spacing w:before="240"/>
      </w:pPr>
      <w:r>
        <w:t>The W</w:t>
      </w:r>
      <w:r w:rsidR="007A7380">
        <w:t>ritten Agreement Must</w:t>
      </w:r>
      <w:r>
        <w:t xml:space="preserve"> Precede The Creation Of The Work</w:t>
      </w:r>
      <w:r w:rsidRPr="00F20763">
        <w:t xml:space="preserve">. </w:t>
      </w:r>
    </w:p>
    <w:p w14:paraId="21ECDDE8" w14:textId="77777777" w:rsidR="00F20763" w:rsidRDefault="007A7380" w:rsidP="007A7380">
      <w:r>
        <w:t xml:space="preserve">The written agreement must precede the creation of the work because (1) the plain language and intent of the statute dictate that order, and because (2) the </w:t>
      </w:r>
      <w:r w:rsidR="003C76BA">
        <w:t>Seventh</w:t>
      </w:r>
      <w:r>
        <w:t xml:space="preserve"> Circuit has ruled </w:t>
      </w:r>
      <w:r w:rsidR="0005270A">
        <w:t xml:space="preserve">persuasively </w:t>
      </w:r>
      <w:r>
        <w:t>as such.</w:t>
      </w:r>
    </w:p>
    <w:p w14:paraId="1709E147" w14:textId="77777777" w:rsidR="007A7380" w:rsidRDefault="007A7380" w:rsidP="007A7380">
      <w:pPr>
        <w:pStyle w:val="Heading4"/>
      </w:pPr>
      <w:r w:rsidRPr="00A52E5A">
        <w:t>1.</w:t>
      </w:r>
      <w:r w:rsidRPr="00A52E5A">
        <w:tab/>
        <w:t>The plain language, intent, and meaning of the statute require the written instrument to precede the work made for hire</w:t>
      </w:r>
      <w:r>
        <w:t>.</w:t>
      </w:r>
    </w:p>
    <w:p w14:paraId="71142C05" w14:textId="77777777" w:rsidR="007A7380" w:rsidRDefault="007A7380" w:rsidP="007A7380">
      <w:r>
        <w:t xml:space="preserve">The Court should begin its analysis by contemplating </w:t>
      </w:r>
      <w:r w:rsidRPr="007A7380">
        <w:rPr>
          <w:i/>
        </w:rPr>
        <w:t>what</w:t>
      </w:r>
      <w:r>
        <w:t xml:space="preserve"> the pertinent text reads.  It reads as follows:</w:t>
      </w:r>
    </w:p>
    <w:p w14:paraId="2DE9A3BE" w14:textId="77777777" w:rsidR="007A7380" w:rsidRPr="00665407" w:rsidRDefault="007A7380" w:rsidP="007A7380">
      <w:pPr>
        <w:widowControl/>
        <w:spacing w:line="240" w:lineRule="auto"/>
        <w:ind w:left="720" w:firstLine="0"/>
        <w:jc w:val="left"/>
        <w:rPr>
          <w:snapToGrid/>
          <w:szCs w:val="24"/>
        </w:rPr>
      </w:pPr>
      <w:r w:rsidRPr="00665407">
        <w:rPr>
          <w:snapToGrid/>
          <w:szCs w:val="24"/>
        </w:rPr>
        <w:t>A “work made for hire” is--</w:t>
      </w:r>
    </w:p>
    <w:p w14:paraId="773B8776" w14:textId="77777777" w:rsidR="007A7380" w:rsidRPr="00665407" w:rsidRDefault="007A7380" w:rsidP="007A7380">
      <w:pPr>
        <w:widowControl/>
        <w:spacing w:line="240" w:lineRule="auto"/>
        <w:ind w:left="720" w:firstLine="0"/>
        <w:jc w:val="left"/>
        <w:rPr>
          <w:snapToGrid/>
          <w:szCs w:val="24"/>
        </w:rPr>
      </w:pPr>
      <w:r>
        <w:rPr>
          <w:b/>
          <w:bCs/>
          <w:snapToGrid/>
          <w:szCs w:val="24"/>
        </w:rPr>
        <w:t>[…]</w:t>
      </w:r>
    </w:p>
    <w:p w14:paraId="41C8B918" w14:textId="77777777" w:rsidR="007A7380" w:rsidRPr="00665407" w:rsidRDefault="007A7380" w:rsidP="007A7380">
      <w:pPr>
        <w:widowControl/>
        <w:spacing w:line="240" w:lineRule="auto"/>
        <w:ind w:left="720" w:firstLine="0"/>
        <w:jc w:val="left"/>
        <w:rPr>
          <w:snapToGrid/>
          <w:szCs w:val="24"/>
        </w:rPr>
      </w:pPr>
      <w:r w:rsidRPr="00665407">
        <w:rPr>
          <w:b/>
          <w:bCs/>
          <w:snapToGrid/>
          <w:szCs w:val="24"/>
        </w:rPr>
        <w:t>(2)</w:t>
      </w:r>
      <w:r w:rsidRPr="00665407">
        <w:rPr>
          <w:snapToGrid/>
          <w:szCs w:val="24"/>
        </w:rPr>
        <w:t xml:space="preserve"> </w:t>
      </w:r>
      <w:proofErr w:type="gramStart"/>
      <w:r w:rsidRPr="00665407">
        <w:rPr>
          <w:snapToGrid/>
          <w:szCs w:val="24"/>
        </w:rPr>
        <w:t>a</w:t>
      </w:r>
      <w:proofErr w:type="gramEnd"/>
      <w:r w:rsidRPr="00665407">
        <w:rPr>
          <w:snapToGrid/>
          <w:szCs w:val="24"/>
        </w:rPr>
        <w:t xml:space="preserve"> work specially ordered or commissioned for use </w:t>
      </w:r>
      <w:r>
        <w:rPr>
          <w:snapToGrid/>
          <w:szCs w:val="24"/>
        </w:rPr>
        <w:t>[…]</w:t>
      </w:r>
      <w:r w:rsidRPr="00665407">
        <w:rPr>
          <w:snapToGrid/>
          <w:szCs w:val="24"/>
        </w:rPr>
        <w:t xml:space="preserve"> as a part of a motion picture or other audiovisual work</w:t>
      </w:r>
      <w:r>
        <w:rPr>
          <w:snapToGrid/>
          <w:szCs w:val="24"/>
        </w:rPr>
        <w:t>, […]</w:t>
      </w:r>
      <w:r w:rsidRPr="00665407">
        <w:rPr>
          <w:snapToGrid/>
          <w:szCs w:val="24"/>
        </w:rPr>
        <w:t xml:space="preserve"> </w:t>
      </w:r>
      <w:r w:rsidRPr="00665407">
        <w:rPr>
          <w:i/>
          <w:snapToGrid/>
          <w:szCs w:val="24"/>
        </w:rPr>
        <w:t>if the parties expressly agree in a written instrument</w:t>
      </w:r>
      <w:r w:rsidRPr="00665407">
        <w:rPr>
          <w:snapToGrid/>
          <w:szCs w:val="24"/>
        </w:rPr>
        <w:t xml:space="preserve"> signed by them that the work</w:t>
      </w:r>
      <w:r w:rsidRPr="00665407">
        <w:rPr>
          <w:i/>
          <w:snapToGrid/>
          <w:szCs w:val="24"/>
        </w:rPr>
        <w:t xml:space="preserve"> shall be considered</w:t>
      </w:r>
      <w:r w:rsidRPr="00665407">
        <w:rPr>
          <w:snapToGrid/>
          <w:szCs w:val="24"/>
        </w:rPr>
        <w:t xml:space="preserve"> a work made for hire. </w:t>
      </w:r>
    </w:p>
    <w:p w14:paraId="4C71B80B" w14:textId="77777777" w:rsidR="007A7380" w:rsidRDefault="007A7380" w:rsidP="007A7380">
      <w:pPr>
        <w:ind w:firstLine="0"/>
      </w:pPr>
    </w:p>
    <w:p w14:paraId="41AE4E2B" w14:textId="77777777" w:rsidR="007A7380" w:rsidRDefault="003C76BA" w:rsidP="007A7380">
      <w:pPr>
        <w:ind w:firstLine="0"/>
      </w:pPr>
      <w:proofErr w:type="gramStart"/>
      <w:r>
        <w:t>Copyright Act</w:t>
      </w:r>
      <w:r w:rsidR="00DB489E">
        <w:t xml:space="preserve"> of 1976</w:t>
      </w:r>
      <w:r>
        <w:t xml:space="preserve"> </w:t>
      </w:r>
      <w:r w:rsidR="007A7380">
        <w:t>17 U.S.C. § 101</w:t>
      </w:r>
      <w:r w:rsidR="00DB489E">
        <w:t xml:space="preserve"> (2006</w:t>
      </w:r>
      <w:r w:rsidR="0036005F">
        <w:t>)</w:t>
      </w:r>
      <w:r w:rsidR="007A7380">
        <w:t xml:space="preserve"> </w:t>
      </w:r>
      <w:r w:rsidR="00A84C4C">
        <w:t>(</w:t>
      </w:r>
      <w:r w:rsidR="007A7380">
        <w:t>emphasis added).</w:t>
      </w:r>
      <w:proofErr w:type="gramEnd"/>
      <w:r w:rsidR="007A7380">
        <w:t xml:space="preserve">  Congress </w:t>
      </w:r>
      <w:proofErr w:type="gramStart"/>
      <w:r w:rsidR="007A7380">
        <w:t>wrote</w:t>
      </w:r>
      <w:proofErr w:type="gramEnd"/>
      <w:r w:rsidR="007A7380">
        <w:t xml:space="preserve"> “shall” when it could have written “should.”  Grammatically a verbal auxiliary, “shall” is both a legal term of art </w:t>
      </w:r>
      <w:proofErr w:type="gramStart"/>
      <w:r w:rsidR="007A7380">
        <w:t>and  a</w:t>
      </w:r>
      <w:proofErr w:type="gramEnd"/>
      <w:r w:rsidR="007A7380">
        <w:t xml:space="preserve"> word used to express futurity.  Philip Babcock Gove et al. eds</w:t>
      </w:r>
      <w:proofErr w:type="gramStart"/>
      <w:r w:rsidR="007A7380">
        <w:t>.,</w:t>
      </w:r>
      <w:proofErr w:type="gramEnd"/>
      <w:r w:rsidR="007A7380">
        <w:t xml:space="preserve"> </w:t>
      </w:r>
      <w:r w:rsidR="007A7380" w:rsidRPr="0005270A">
        <w:rPr>
          <w:i/>
        </w:rPr>
        <w:t xml:space="preserve">Webster’s Third New </w:t>
      </w:r>
      <w:r w:rsidR="007A7380" w:rsidRPr="0005270A">
        <w:rPr>
          <w:i/>
        </w:rPr>
        <w:lastRenderedPageBreak/>
        <w:t>International Dictionary of the English Language Unabridged</w:t>
      </w:r>
      <w:r w:rsidR="007A7380">
        <w:t xml:space="preserve"> 2086-87 (4th ed. 1976).   The legal term of art itself generally expresses futurity, </w:t>
      </w:r>
      <w:r w:rsidR="0005270A">
        <w:t xml:space="preserve">if only </w:t>
      </w:r>
      <w:r w:rsidR="007A7380">
        <w:t xml:space="preserve">because of the constitutional prohibition on </w:t>
      </w:r>
      <w:r w:rsidR="007A7380" w:rsidRPr="0005270A">
        <w:rPr>
          <w:i/>
        </w:rPr>
        <w:t>ex post facto</w:t>
      </w:r>
      <w:r w:rsidR="007A7380">
        <w:t xml:space="preserve"> laws. </w:t>
      </w:r>
      <w:proofErr w:type="gramStart"/>
      <w:r w:rsidR="007A7380">
        <w:t>U.S. Const. art.</w:t>
      </w:r>
      <w:proofErr w:type="gramEnd"/>
      <w:r w:rsidR="007A7380">
        <w:t xml:space="preserve"> </w:t>
      </w:r>
      <w:proofErr w:type="gramStart"/>
      <w:r w:rsidR="007A7380">
        <w:t>I, § 9, cl. 3.</w:t>
      </w:r>
      <w:proofErr w:type="gramEnd"/>
      <w:r w:rsidR="007A7380">
        <w:t xml:space="preserve">  The futurity expressed here </w:t>
      </w:r>
      <w:r w:rsidR="0005270A">
        <w:t xml:space="preserve">by the word </w:t>
      </w:r>
      <w:r w:rsidR="007A7380">
        <w:t>is not only in the proscriptive, term-of-art, “</w:t>
      </w:r>
      <w:r w:rsidR="0005270A">
        <w:t>one</w:t>
      </w:r>
      <w:r w:rsidR="007A7380">
        <w:t xml:space="preserve"> shall” sense, but also expresses futurity within the relative clause of the sentence, which begins with “that the work” and describes the written instrument itself.  That is, the plain language of the statute mandates a written instrument </w:t>
      </w:r>
      <w:r w:rsidR="0005270A">
        <w:t xml:space="preserve">that </w:t>
      </w:r>
      <w:r w:rsidR="007A7380">
        <w:t xml:space="preserve">contemplates a work made for hire </w:t>
      </w:r>
      <w:r w:rsidR="007A7380" w:rsidRPr="0005270A">
        <w:rPr>
          <w:i/>
        </w:rPr>
        <w:t>in the future</w:t>
      </w:r>
      <w:r w:rsidR="007A7380">
        <w:t xml:space="preserve">. </w:t>
      </w:r>
    </w:p>
    <w:p w14:paraId="56F9AF19" w14:textId="77777777" w:rsidR="007A7380" w:rsidRDefault="007A7380" w:rsidP="007A7380">
      <w:pPr>
        <w:spacing w:after="240"/>
      </w:pPr>
      <w:r>
        <w:t xml:space="preserve">With the meaning of the text in its grasp, the Court should next contemplate </w:t>
      </w:r>
      <w:r w:rsidRPr="007A7380">
        <w:rPr>
          <w:i/>
        </w:rPr>
        <w:t>why</w:t>
      </w:r>
      <w:r>
        <w:t xml:space="preserve"> Congress would add a writing requirement in the 1976 revision of </w:t>
      </w:r>
      <w:r w:rsidR="00A84C4C">
        <w:t>U.S.C. Title 17.</w:t>
      </w:r>
      <w:r>
        <w:t xml:space="preserve">  The repealed statute required courts to determine the intent of the parties by employing a “motivating factor test” or “instance and expense test.”  </w:t>
      </w:r>
      <w:r w:rsidRPr="007A7380">
        <w:rPr>
          <w:i/>
          <w:snapToGrid/>
          <w:szCs w:val="24"/>
        </w:rPr>
        <w:t>Playboy Enterprises, Inc. v. Dumas</w:t>
      </w:r>
      <w:r w:rsidRPr="007A7380">
        <w:rPr>
          <w:snapToGrid/>
          <w:szCs w:val="24"/>
        </w:rPr>
        <w:t>, 53 F.3d 549, 562 (2d Cir. 1995)</w:t>
      </w:r>
      <w:r>
        <w:rPr>
          <w:snapToGrid/>
          <w:szCs w:val="24"/>
        </w:rPr>
        <w:t xml:space="preserve">.  </w:t>
      </w:r>
      <w:r>
        <w:t xml:space="preserve">As the portion of the analysis in </w:t>
      </w:r>
      <w:r w:rsidRPr="007A7380">
        <w:rPr>
          <w:i/>
        </w:rPr>
        <w:t>Playboy</w:t>
      </w:r>
      <w:r>
        <w:t xml:space="preserve"> that relates to the 1909 Act reveals, intent tests are by nature fact-intensive.  </w:t>
      </w:r>
      <w:r w:rsidR="0005270A">
        <w:rPr>
          <w:i/>
        </w:rPr>
        <w:t xml:space="preserve">Id.  </w:t>
      </w:r>
      <w:r>
        <w:t>The revised Copyright Act of 1976, by contrast, requires only one factual determination—whether the writing preceded the work.  The Court may reasonably infer that Congress intended greater clarity of application by adding this statute of frauds.</w:t>
      </w:r>
    </w:p>
    <w:p w14:paraId="43BF2600" w14:textId="77777777" w:rsidR="0005270A" w:rsidRPr="0005270A" w:rsidRDefault="0005270A" w:rsidP="0005270A">
      <w:pPr>
        <w:pStyle w:val="Heading4"/>
      </w:pPr>
      <w:r>
        <w:t>2</w:t>
      </w:r>
      <w:r w:rsidRPr="00A52E5A">
        <w:t>.</w:t>
      </w:r>
      <w:r w:rsidRPr="00A52E5A">
        <w:tab/>
      </w:r>
      <w:r>
        <w:t>The Seventh Circuit held that a written agreement must precede the creation of a work made for hire.</w:t>
      </w:r>
    </w:p>
    <w:p w14:paraId="1721B8A0" w14:textId="77777777" w:rsidR="00F20763" w:rsidRPr="00EF028C" w:rsidRDefault="0036005F" w:rsidP="00EF028C">
      <w:pPr>
        <w:spacing w:after="240"/>
        <w:rPr>
          <w:snapToGrid/>
          <w:szCs w:val="24"/>
        </w:rPr>
      </w:pPr>
      <w:r>
        <w:t xml:space="preserve">The fact that the “Work-Made-For-Hire Agreement” in this case was signed five days after the delivery of the completed screenplay raises the issue of whether </w:t>
      </w:r>
      <w:r w:rsidR="00EF028C">
        <w:t xml:space="preserve">an agreement signed after the </w:t>
      </w:r>
      <w:r>
        <w:t xml:space="preserve">fact creates a legal work-made-for-hire </w:t>
      </w:r>
      <w:r w:rsidR="00EF028C">
        <w:t>relationship between Plaintiff and Defendant Elizabeth Lime</w:t>
      </w:r>
      <w:r>
        <w:t xml:space="preserve">.  </w:t>
      </w:r>
      <w:r w:rsidRPr="0036005F">
        <w:rPr>
          <w:snapToGrid/>
          <w:szCs w:val="24"/>
        </w:rPr>
        <w:t>The</w:t>
      </w:r>
      <w:r>
        <w:rPr>
          <w:snapToGrid/>
          <w:szCs w:val="24"/>
        </w:rPr>
        <w:t xml:space="preserve"> United States Court of Appeals, Seventh Circuit holds that “the </w:t>
      </w:r>
      <w:r w:rsidRPr="0036005F">
        <w:rPr>
          <w:snapToGrid/>
          <w:szCs w:val="24"/>
        </w:rPr>
        <w:t xml:space="preserve">writing must precede the creation of the property in order to serve its purpose of identifying the </w:t>
      </w:r>
      <w:r w:rsidRPr="0036005F">
        <w:rPr>
          <w:snapToGrid/>
          <w:szCs w:val="24"/>
        </w:rPr>
        <w:lastRenderedPageBreak/>
        <w:t>(</w:t>
      </w:r>
      <w:proofErr w:type="spellStart"/>
      <w:r w:rsidRPr="0036005F">
        <w:rPr>
          <w:snapToGrid/>
          <w:szCs w:val="24"/>
        </w:rPr>
        <w:t>noncreator</w:t>
      </w:r>
      <w:proofErr w:type="spellEnd"/>
      <w:r w:rsidRPr="0036005F">
        <w:rPr>
          <w:snapToGrid/>
          <w:szCs w:val="24"/>
        </w:rPr>
        <w:t>) owner unequivocally</w:t>
      </w:r>
      <w:r>
        <w:rPr>
          <w:snapToGrid/>
          <w:szCs w:val="24"/>
        </w:rPr>
        <w:t xml:space="preserve">.”  </w:t>
      </w:r>
      <w:r w:rsidRPr="0036005F">
        <w:rPr>
          <w:i/>
          <w:snapToGrid/>
          <w:szCs w:val="24"/>
        </w:rPr>
        <w:t xml:space="preserve">Schiller &amp; Schmidt, Inc. v. </w:t>
      </w:r>
      <w:proofErr w:type="spellStart"/>
      <w:r w:rsidRPr="0036005F">
        <w:rPr>
          <w:i/>
          <w:snapToGrid/>
          <w:szCs w:val="24"/>
        </w:rPr>
        <w:t>Nordisco</w:t>
      </w:r>
      <w:proofErr w:type="spellEnd"/>
      <w:r w:rsidRPr="0036005F">
        <w:rPr>
          <w:i/>
          <w:snapToGrid/>
          <w:szCs w:val="24"/>
        </w:rPr>
        <w:t xml:space="preserve"> Corp.</w:t>
      </w:r>
      <w:r w:rsidRPr="0036005F">
        <w:rPr>
          <w:snapToGrid/>
          <w:szCs w:val="24"/>
        </w:rPr>
        <w:t>, 969 F.2d 410, 413 (7th Cir. 1992)</w:t>
      </w:r>
      <w:r>
        <w:rPr>
          <w:snapToGrid/>
          <w:szCs w:val="24"/>
        </w:rPr>
        <w:t xml:space="preserve">.  The </w:t>
      </w:r>
      <w:r>
        <w:rPr>
          <w:i/>
          <w:snapToGrid/>
          <w:szCs w:val="24"/>
        </w:rPr>
        <w:t xml:space="preserve">Schiller </w:t>
      </w:r>
      <w:r>
        <w:rPr>
          <w:snapToGrid/>
          <w:szCs w:val="24"/>
        </w:rPr>
        <w:t xml:space="preserve">court </w:t>
      </w:r>
      <w:r w:rsidR="00EF028C">
        <w:rPr>
          <w:snapToGrid/>
          <w:szCs w:val="24"/>
        </w:rPr>
        <w:t>promulgates a bright-line rule, which construes</w:t>
      </w:r>
      <w:r>
        <w:rPr>
          <w:snapToGrid/>
          <w:szCs w:val="24"/>
        </w:rPr>
        <w:t xml:space="preserve"> the writing requirement in 17 U.S.C. § 101(2)</w:t>
      </w:r>
      <w:r w:rsidR="00EF028C">
        <w:rPr>
          <w:snapToGrid/>
          <w:szCs w:val="24"/>
        </w:rPr>
        <w:t xml:space="preserve"> </w:t>
      </w:r>
      <w:r w:rsidR="00A84C4C">
        <w:rPr>
          <w:snapToGrid/>
          <w:szCs w:val="24"/>
        </w:rPr>
        <w:t xml:space="preserve">(2006) </w:t>
      </w:r>
      <w:r w:rsidR="00EF028C">
        <w:rPr>
          <w:snapToGrid/>
          <w:szCs w:val="24"/>
        </w:rPr>
        <w:t>to serve the interests of clarity</w:t>
      </w:r>
      <w:r>
        <w:rPr>
          <w:snapToGrid/>
          <w:szCs w:val="24"/>
        </w:rPr>
        <w:t xml:space="preserve">. </w:t>
      </w:r>
      <w:r w:rsidR="00EF028C">
        <w:rPr>
          <w:snapToGrid/>
          <w:szCs w:val="24"/>
        </w:rPr>
        <w:t xml:space="preserve"> The facts of this case fall afoul of that bright line.  Because Plaintiff corporation and Defendant Elizabeth Lime signed the “Work-Made-For-Hire Agreement” after the work was created, the agreement does not create a valid work-for-hire relationship.</w:t>
      </w:r>
    </w:p>
    <w:p w14:paraId="03B497D0" w14:textId="77777777" w:rsidR="00AF7062" w:rsidRDefault="005F7B14" w:rsidP="00EF028C">
      <w:pPr>
        <w:pStyle w:val="Heading3"/>
        <w:numPr>
          <w:ilvl w:val="0"/>
          <w:numId w:val="7"/>
        </w:numPr>
      </w:pPr>
      <w:r>
        <w:t xml:space="preserve">The Conversation Of March 27, 2010 Was Not </w:t>
      </w:r>
      <w:r w:rsidR="00420183">
        <w:t>Sufficient To Create An Agreement</w:t>
      </w:r>
    </w:p>
    <w:p w14:paraId="4230B731" w14:textId="77777777" w:rsidR="00736DAF" w:rsidRDefault="002700D6" w:rsidP="00752BF5">
      <w:pPr>
        <w:widowControl/>
      </w:pPr>
      <w:r>
        <w:t>In</w:t>
      </w:r>
      <w:r w:rsidR="00420183">
        <w:t xml:space="preserve"> </w:t>
      </w:r>
      <w:r>
        <w:t xml:space="preserve">certain circumstances </w:t>
      </w:r>
      <w:r w:rsidR="00420183">
        <w:t xml:space="preserve">where a </w:t>
      </w:r>
      <w:r>
        <w:t xml:space="preserve">later </w:t>
      </w:r>
      <w:r w:rsidR="00420183">
        <w:t>written agreement confirms or formalizes a prior oral work-made-for-hire agreement</w:t>
      </w:r>
      <w:r>
        <w:t xml:space="preserve">, </w:t>
      </w:r>
      <w:r w:rsidR="004A76C7">
        <w:t xml:space="preserve">a conflict arises between </w:t>
      </w:r>
      <w:r>
        <w:t xml:space="preserve">the </w:t>
      </w:r>
      <w:r w:rsidR="004A76C7">
        <w:t>bright-line rule discussed above and what seems to be</w:t>
      </w:r>
      <w:r>
        <w:t xml:space="preserve"> the intent</w:t>
      </w:r>
      <w:r w:rsidR="004A76C7">
        <w:t xml:space="preserve"> of the contracting parties</w:t>
      </w:r>
      <w:r w:rsidR="00A9769E">
        <w:t>.</w:t>
      </w:r>
      <w:r w:rsidR="00420183">
        <w:t xml:space="preserve"> </w:t>
      </w:r>
      <w:r>
        <w:t xml:space="preserve">The United States Court of Appeals, Second Circuit resolved that issue by </w:t>
      </w:r>
      <w:r w:rsidR="004A76C7">
        <w:t>emphasizing the</w:t>
      </w:r>
      <w:r>
        <w:t xml:space="preserve"> parties’ intent as expressed </w:t>
      </w:r>
      <w:r w:rsidR="004A76C7">
        <w:t>in</w:t>
      </w:r>
      <w:r>
        <w:t xml:space="preserve"> their conduct</w:t>
      </w:r>
      <w:r w:rsidR="00A9769E">
        <w:t>: “</w:t>
      </w:r>
      <w:r w:rsidR="00A9769E" w:rsidRPr="00982C5A">
        <w:rPr>
          <w:snapToGrid/>
          <w:szCs w:val="24"/>
        </w:rPr>
        <w:t>In the fact pattern of this case, we will assume that the writing requirement of § 101(2) can be met by a writing executed after the work is created, if the writing confirms a prior agreement, either explicit or implicit, made before the creation of the work.</w:t>
      </w:r>
      <w:r w:rsidR="00A9769E">
        <w:rPr>
          <w:snapToGrid/>
          <w:szCs w:val="24"/>
        </w:rPr>
        <w:t xml:space="preserve">”  </w:t>
      </w:r>
      <w:proofErr w:type="gramStart"/>
      <w:r w:rsidR="004A76C7">
        <w:rPr>
          <w:i/>
          <w:snapToGrid/>
          <w:szCs w:val="24"/>
        </w:rPr>
        <w:t>Playboy</w:t>
      </w:r>
      <w:r w:rsidR="004A76C7">
        <w:rPr>
          <w:snapToGrid/>
          <w:szCs w:val="24"/>
        </w:rPr>
        <w:t>, at</w:t>
      </w:r>
      <w:r w:rsidR="004A76C7">
        <w:rPr>
          <w:i/>
          <w:snapToGrid/>
          <w:szCs w:val="24"/>
        </w:rPr>
        <w:t xml:space="preserve"> </w:t>
      </w:r>
      <w:r w:rsidR="004A76C7">
        <w:rPr>
          <w:snapToGrid/>
          <w:szCs w:val="24"/>
        </w:rPr>
        <w:t>559</w:t>
      </w:r>
      <w:r w:rsidR="00A9769E">
        <w:rPr>
          <w:snapToGrid/>
          <w:szCs w:val="24"/>
        </w:rPr>
        <w:t>.</w:t>
      </w:r>
      <w:proofErr w:type="gramEnd"/>
      <w:r w:rsidR="00A9769E">
        <w:rPr>
          <w:snapToGrid/>
          <w:szCs w:val="24"/>
        </w:rPr>
        <w:t xml:space="preserve">  </w:t>
      </w:r>
      <w:r w:rsidR="004A76C7">
        <w:rPr>
          <w:snapToGrid/>
          <w:szCs w:val="24"/>
        </w:rPr>
        <w:t>Because</w:t>
      </w:r>
      <w:r w:rsidR="00A9769E">
        <w:rPr>
          <w:snapToGrid/>
          <w:szCs w:val="24"/>
        </w:rPr>
        <w:t xml:space="preserve"> </w:t>
      </w:r>
      <w:r w:rsidR="004A76C7">
        <w:rPr>
          <w:snapToGrid/>
          <w:szCs w:val="24"/>
        </w:rPr>
        <w:t xml:space="preserve">it </w:t>
      </w:r>
      <w:r w:rsidR="00FE3C9F">
        <w:rPr>
          <w:snapToGrid/>
          <w:szCs w:val="24"/>
        </w:rPr>
        <w:t xml:space="preserve">confines itself </w:t>
      </w:r>
      <w:r w:rsidR="00A9769E">
        <w:rPr>
          <w:snapToGrid/>
          <w:szCs w:val="24"/>
        </w:rPr>
        <w:t>to the</w:t>
      </w:r>
      <w:r w:rsidR="00A84C4C">
        <w:rPr>
          <w:snapToGrid/>
          <w:szCs w:val="24"/>
        </w:rPr>
        <w:t xml:space="preserve"> immediate</w:t>
      </w:r>
      <w:r w:rsidR="00A9769E">
        <w:rPr>
          <w:snapToGrid/>
          <w:szCs w:val="24"/>
        </w:rPr>
        <w:t xml:space="preserve"> fact pattern</w:t>
      </w:r>
      <w:r w:rsidR="004A76C7">
        <w:rPr>
          <w:snapToGrid/>
          <w:szCs w:val="24"/>
        </w:rPr>
        <w:t>, and because</w:t>
      </w:r>
      <w:r w:rsidR="00056D91">
        <w:rPr>
          <w:snapToGrid/>
          <w:szCs w:val="24"/>
        </w:rPr>
        <w:t xml:space="preserve"> it “assume[s]” to read the </w:t>
      </w:r>
      <w:r w:rsidR="004A76C7">
        <w:rPr>
          <w:snapToGrid/>
          <w:szCs w:val="24"/>
        </w:rPr>
        <w:t>writing requirement</w:t>
      </w:r>
      <w:r w:rsidR="00056D91">
        <w:rPr>
          <w:snapToGrid/>
          <w:szCs w:val="24"/>
        </w:rPr>
        <w:t xml:space="preserve"> in this way</w:t>
      </w:r>
      <w:r w:rsidR="004A76C7">
        <w:rPr>
          <w:snapToGrid/>
          <w:szCs w:val="24"/>
        </w:rPr>
        <w:t>,</w:t>
      </w:r>
      <w:r w:rsidR="004A76C7" w:rsidRPr="004A76C7">
        <w:rPr>
          <w:snapToGrid/>
          <w:szCs w:val="24"/>
        </w:rPr>
        <w:t xml:space="preserve"> </w:t>
      </w:r>
      <w:r w:rsidR="004A76C7">
        <w:rPr>
          <w:snapToGrid/>
          <w:szCs w:val="24"/>
        </w:rPr>
        <w:t>the Second Circuit ruling here is both narrow and apprehensive</w:t>
      </w:r>
      <w:r w:rsidR="00056D91">
        <w:rPr>
          <w:snapToGrid/>
          <w:szCs w:val="24"/>
        </w:rPr>
        <w:t xml:space="preserve">.  </w:t>
      </w:r>
      <w:r w:rsidR="00FE3C9F">
        <w:rPr>
          <w:snapToGrid/>
          <w:szCs w:val="24"/>
        </w:rPr>
        <w:t>That</w:t>
      </w:r>
      <w:r w:rsidR="00752BF5">
        <w:rPr>
          <w:snapToGrid/>
          <w:szCs w:val="24"/>
        </w:rPr>
        <w:t xml:space="preserve"> assumption </w:t>
      </w:r>
      <w:r w:rsidR="004A76C7">
        <w:rPr>
          <w:snapToGrid/>
          <w:szCs w:val="24"/>
        </w:rPr>
        <w:t xml:space="preserve">arises out of </w:t>
      </w:r>
      <w:r w:rsidR="00752BF5">
        <w:rPr>
          <w:snapToGrid/>
          <w:szCs w:val="24"/>
        </w:rPr>
        <w:t xml:space="preserve">a </w:t>
      </w:r>
      <w:r w:rsidR="00E53856">
        <w:rPr>
          <w:snapToGrid/>
          <w:szCs w:val="24"/>
        </w:rPr>
        <w:t>non-binding</w:t>
      </w:r>
      <w:r w:rsidR="00056D91">
        <w:rPr>
          <w:snapToGrid/>
          <w:szCs w:val="24"/>
        </w:rPr>
        <w:t xml:space="preserve"> </w:t>
      </w:r>
      <w:r w:rsidR="00752BF5">
        <w:rPr>
          <w:snapToGrid/>
          <w:szCs w:val="24"/>
        </w:rPr>
        <w:t xml:space="preserve">authority, which </w:t>
      </w:r>
      <w:proofErr w:type="gramStart"/>
      <w:r w:rsidR="00056D91">
        <w:rPr>
          <w:snapToGrid/>
          <w:szCs w:val="24"/>
        </w:rPr>
        <w:t xml:space="preserve">concludes </w:t>
      </w:r>
      <w:r w:rsidR="00056D91" w:rsidRPr="00056D91">
        <w:t>that</w:t>
      </w:r>
      <w:proofErr w:type="gramEnd"/>
      <w:r w:rsidR="00056D91" w:rsidRPr="00056D91">
        <w:t xml:space="preserve"> “perhaps this rule needs further testing in the crucible of fact patterns by future cases.”</w:t>
      </w:r>
      <w:r w:rsidR="00056D91">
        <w:t xml:space="preserve">  </w:t>
      </w:r>
      <w:r w:rsidR="00056D91">
        <w:rPr>
          <w:i/>
        </w:rPr>
        <w:t>Id.</w:t>
      </w:r>
      <w:r w:rsidR="007A5174">
        <w:t xml:space="preserve"> (</w:t>
      </w:r>
      <w:r w:rsidR="00752BF5">
        <w:t>citing</w:t>
      </w:r>
      <w:r w:rsidR="00DF7791">
        <w:t xml:space="preserve"> </w:t>
      </w:r>
      <w:r w:rsidR="00DF7791" w:rsidRPr="00DF7791">
        <w:t>1</w:t>
      </w:r>
      <w:r w:rsidR="00056D91" w:rsidRPr="00DF7791">
        <w:t> </w:t>
      </w:r>
      <w:bookmarkStart w:id="0" w:name="co_tempAnchor"/>
      <w:bookmarkEnd w:id="0"/>
      <w:r w:rsidR="00DF7791" w:rsidRPr="00DF7791">
        <w:t xml:space="preserve">Melville B. </w:t>
      </w:r>
      <w:proofErr w:type="spellStart"/>
      <w:r w:rsidR="00DF7791" w:rsidRPr="00DF7791">
        <w:t>Nimmer</w:t>
      </w:r>
      <w:proofErr w:type="spellEnd"/>
      <w:r w:rsidR="00DF7791" w:rsidRPr="00DF7791">
        <w:t xml:space="preserve"> &amp; David </w:t>
      </w:r>
      <w:proofErr w:type="spellStart"/>
      <w:r w:rsidR="00DF7791" w:rsidRPr="00DF7791">
        <w:t>Nimmer</w:t>
      </w:r>
      <w:proofErr w:type="spellEnd"/>
      <w:r w:rsidR="00DF7791" w:rsidRPr="00DF7791">
        <w:t>, </w:t>
      </w:r>
      <w:proofErr w:type="spellStart"/>
      <w:r w:rsidR="00DF7791" w:rsidRPr="002700D6">
        <w:rPr>
          <w:i/>
        </w:rPr>
        <w:t>Nimmer</w:t>
      </w:r>
      <w:proofErr w:type="spellEnd"/>
      <w:r w:rsidR="00DF7791" w:rsidRPr="002700D6">
        <w:rPr>
          <w:i/>
        </w:rPr>
        <w:t xml:space="preserve"> on Copyright</w:t>
      </w:r>
      <w:r>
        <w:t xml:space="preserve"> </w:t>
      </w:r>
      <w:r w:rsidR="00752BF5" w:rsidRPr="00DF7791">
        <w:t xml:space="preserve">1 </w:t>
      </w:r>
      <w:r w:rsidR="00056D91" w:rsidRPr="00DF7791">
        <w:t>§ 5.03[B][2][b] (1994)</w:t>
      </w:r>
      <w:r w:rsidR="007A5174">
        <w:t>)</w:t>
      </w:r>
      <w:r w:rsidR="00752BF5" w:rsidRPr="00DF7791">
        <w:t>.</w:t>
      </w:r>
      <w:r w:rsidR="00752BF5">
        <w:t xml:space="preserve">  The </w:t>
      </w:r>
      <w:r w:rsidR="00752BF5">
        <w:rPr>
          <w:i/>
        </w:rPr>
        <w:t xml:space="preserve">Playboy </w:t>
      </w:r>
      <w:r w:rsidR="00752BF5">
        <w:t xml:space="preserve">ruling on the issue </w:t>
      </w:r>
      <w:r w:rsidR="004A76C7">
        <w:t xml:space="preserve">of the chronology of the writing requirement, then, </w:t>
      </w:r>
      <w:r w:rsidR="00752BF5">
        <w:t>is a species of legal exp</w:t>
      </w:r>
      <w:r w:rsidR="00FE3C9F">
        <w:t>eriment that should not bind this Court.</w:t>
      </w:r>
    </w:p>
    <w:p w14:paraId="61F0A838" w14:textId="77777777" w:rsidR="00752BF5" w:rsidRDefault="00DB239E" w:rsidP="00752BF5">
      <w:pPr>
        <w:rPr>
          <w:snapToGrid/>
        </w:rPr>
      </w:pPr>
      <w:r>
        <w:rPr>
          <w:snapToGrid/>
        </w:rPr>
        <w:t>If</w:t>
      </w:r>
      <w:r w:rsidR="004A76C7">
        <w:rPr>
          <w:snapToGrid/>
        </w:rPr>
        <w:t>, however,</w:t>
      </w:r>
      <w:r>
        <w:rPr>
          <w:snapToGrid/>
        </w:rPr>
        <w:t xml:space="preserve"> this Court were to follow</w:t>
      </w:r>
      <w:r w:rsidR="004A76C7">
        <w:rPr>
          <w:snapToGrid/>
        </w:rPr>
        <w:t xml:space="preserve"> the Second Circuit</w:t>
      </w:r>
      <w:r>
        <w:rPr>
          <w:snapToGrid/>
        </w:rPr>
        <w:t xml:space="preserve"> on that issue, then the </w:t>
      </w:r>
      <w:r>
        <w:rPr>
          <w:snapToGrid/>
        </w:rPr>
        <w:lastRenderedPageBreak/>
        <w:t>subsequent issue in this case becomes whether the purported oral agreement of March 27</w:t>
      </w:r>
      <w:r w:rsidR="00A84C4C">
        <w:rPr>
          <w:snapToGrid/>
        </w:rPr>
        <w:t>, 2010</w:t>
      </w:r>
      <w:r>
        <w:rPr>
          <w:snapToGrid/>
        </w:rPr>
        <w:t xml:space="preserve"> is a sufficiently clear agreement.  </w:t>
      </w:r>
      <w:r w:rsidR="00E53856">
        <w:rPr>
          <w:snapToGrid/>
        </w:rPr>
        <w:t xml:space="preserve">Under the </w:t>
      </w:r>
      <w:r w:rsidR="00E53856">
        <w:rPr>
          <w:i/>
          <w:snapToGrid/>
        </w:rPr>
        <w:t xml:space="preserve">Playboy </w:t>
      </w:r>
      <w:r w:rsidR="00E53856">
        <w:rPr>
          <w:snapToGrid/>
        </w:rPr>
        <w:t xml:space="preserve">standard, </w:t>
      </w:r>
      <w:r w:rsidR="00160128">
        <w:rPr>
          <w:snapToGrid/>
        </w:rPr>
        <w:t xml:space="preserve">an </w:t>
      </w:r>
      <w:r w:rsidR="00160128">
        <w:rPr>
          <w:i/>
          <w:snapToGrid/>
        </w:rPr>
        <w:t xml:space="preserve">ex </w:t>
      </w:r>
      <w:r w:rsidR="00160128" w:rsidRPr="00160128">
        <w:rPr>
          <w:i/>
          <w:snapToGrid/>
        </w:rPr>
        <w:t>post</w:t>
      </w:r>
      <w:r w:rsidR="00160128">
        <w:rPr>
          <w:snapToGrid/>
        </w:rPr>
        <w:t xml:space="preserve"> writing is only binding if it confirms a prior agreement.  </w:t>
      </w:r>
      <w:proofErr w:type="gramStart"/>
      <w:r w:rsidR="00403826">
        <w:rPr>
          <w:i/>
          <w:snapToGrid/>
        </w:rPr>
        <w:t>Playboy</w:t>
      </w:r>
      <w:r w:rsidR="00403826">
        <w:rPr>
          <w:snapToGrid/>
        </w:rPr>
        <w:t>,</w:t>
      </w:r>
      <w:r w:rsidR="00A31635">
        <w:rPr>
          <w:snapToGrid/>
        </w:rPr>
        <w:t xml:space="preserve"> at 559-60.</w:t>
      </w:r>
      <w:proofErr w:type="gramEnd"/>
      <w:r w:rsidR="00A31635">
        <w:rPr>
          <w:snapToGrid/>
        </w:rPr>
        <w:t xml:space="preserve">  The burden of proof is on the Plaintiff</w:t>
      </w:r>
      <w:r w:rsidR="00FE3C9F">
        <w:rPr>
          <w:snapToGrid/>
        </w:rPr>
        <w:t xml:space="preserve"> to show an agreement-to-be-confirmed</w:t>
      </w:r>
      <w:r w:rsidR="00A31635">
        <w:rPr>
          <w:snapToGrid/>
        </w:rPr>
        <w:t xml:space="preserve">.  </w:t>
      </w:r>
      <w:proofErr w:type="gramStart"/>
      <w:r w:rsidR="00A31635">
        <w:rPr>
          <w:i/>
          <w:snapToGrid/>
        </w:rPr>
        <w:t>Id.</w:t>
      </w:r>
      <w:r w:rsidR="00A31635">
        <w:rPr>
          <w:snapToGrid/>
        </w:rPr>
        <w:t xml:space="preserve"> at 560.</w:t>
      </w:r>
      <w:proofErr w:type="gramEnd"/>
      <w:r w:rsidR="00A31635">
        <w:rPr>
          <w:snapToGrid/>
        </w:rPr>
        <w:t xml:space="preserve">  The facts as alleged in this case</w:t>
      </w:r>
      <w:r w:rsidR="00160128">
        <w:rPr>
          <w:snapToGrid/>
        </w:rPr>
        <w:t>, though,</w:t>
      </w:r>
      <w:r w:rsidR="00A31635">
        <w:rPr>
          <w:snapToGrid/>
        </w:rPr>
        <w:t xml:space="preserve"> denote that </w:t>
      </w:r>
      <w:r w:rsidR="00752BF5">
        <w:rPr>
          <w:snapToGrid/>
        </w:rPr>
        <w:t xml:space="preserve">Ms. Lime responded to Mr. Nelson’s series of statements and compound questions with a simple “yes.”  (Complaint. ¶¶ 16, 17.)  What she affirmed with that statement is unclear: did she affirm that she understood Nelson’s </w:t>
      </w:r>
      <w:r w:rsidR="00FE3C9F">
        <w:rPr>
          <w:snapToGrid/>
        </w:rPr>
        <w:t>statements</w:t>
      </w:r>
      <w:proofErr w:type="gramStart"/>
      <w:r w:rsidR="00752BF5">
        <w:rPr>
          <w:snapToGrid/>
        </w:rPr>
        <w:t>?;</w:t>
      </w:r>
      <w:proofErr w:type="gramEnd"/>
      <w:r w:rsidR="00752BF5">
        <w:rPr>
          <w:snapToGrid/>
        </w:rPr>
        <w:t xml:space="preserve"> did she affirm that “that” (a pronoun to which the antecedent is unclear) was OK?; or did she affirmatively answer both questions simultaneously?  By analogy, if this transcript were from a deposition, </w:t>
      </w:r>
      <w:r w:rsidR="00A31635">
        <w:rPr>
          <w:snapToGrid/>
        </w:rPr>
        <w:t>it would include an objection</w:t>
      </w:r>
      <w:r w:rsidR="00752BF5">
        <w:rPr>
          <w:snapToGrid/>
        </w:rPr>
        <w:t xml:space="preserve"> on the g</w:t>
      </w:r>
      <w:r w:rsidR="00A31635">
        <w:rPr>
          <w:snapToGrid/>
        </w:rPr>
        <w:t xml:space="preserve">rounds of a compound question.  Moreover, whom Mr. Nelson means by “we” also raises more questions: does he mean the plaintiff corporation, the </w:t>
      </w:r>
      <w:r w:rsidR="00A31635">
        <w:rPr>
          <w:i/>
          <w:snapToGrid/>
        </w:rPr>
        <w:t>it</w:t>
      </w:r>
      <w:r w:rsidR="00A31635">
        <w:rPr>
          <w:snapToGrid/>
        </w:rPr>
        <w:t xml:space="preserve"> he represents</w:t>
      </w:r>
      <w:proofErr w:type="gramStart"/>
      <w:r w:rsidR="00A31635">
        <w:rPr>
          <w:snapToGrid/>
        </w:rPr>
        <w:t>?;</w:t>
      </w:r>
      <w:proofErr w:type="gramEnd"/>
      <w:r w:rsidR="00A31635">
        <w:rPr>
          <w:snapToGrid/>
        </w:rPr>
        <w:t xml:space="preserve"> does he mean himself and Ms. Lime, together?; does he refer only to himself, or only to Ms. Elizabeth Lime?  B</w:t>
      </w:r>
      <w:r w:rsidR="00752BF5">
        <w:rPr>
          <w:snapToGrid/>
        </w:rPr>
        <w:t xml:space="preserve">ecause a </w:t>
      </w:r>
      <w:r w:rsidR="00A31635">
        <w:rPr>
          <w:snapToGrid/>
        </w:rPr>
        <w:t>“</w:t>
      </w:r>
      <w:r w:rsidR="00752BF5">
        <w:rPr>
          <w:snapToGrid/>
        </w:rPr>
        <w:t>yes</w:t>
      </w:r>
      <w:r w:rsidR="00A31635">
        <w:rPr>
          <w:snapToGrid/>
        </w:rPr>
        <w:t>”</w:t>
      </w:r>
      <w:r w:rsidR="00752BF5">
        <w:rPr>
          <w:snapToGrid/>
        </w:rPr>
        <w:t xml:space="preserve"> or </w:t>
      </w:r>
      <w:r w:rsidR="00A31635">
        <w:rPr>
          <w:snapToGrid/>
        </w:rPr>
        <w:t>“</w:t>
      </w:r>
      <w:r w:rsidR="00752BF5">
        <w:rPr>
          <w:snapToGrid/>
        </w:rPr>
        <w:t>no</w:t>
      </w:r>
      <w:r w:rsidR="00A31635">
        <w:rPr>
          <w:snapToGrid/>
        </w:rPr>
        <w:t>”</w:t>
      </w:r>
      <w:r w:rsidR="00752BF5">
        <w:rPr>
          <w:snapToGrid/>
        </w:rPr>
        <w:t xml:space="preserve"> answer to a compound question is logically ambiguous</w:t>
      </w:r>
      <w:r w:rsidR="00A31635">
        <w:rPr>
          <w:snapToGrid/>
        </w:rPr>
        <w:t xml:space="preserve"> and because the pronouns from this transcript </w:t>
      </w:r>
      <w:r w:rsidR="00160128">
        <w:rPr>
          <w:snapToGrid/>
        </w:rPr>
        <w:t>are grammatically</w:t>
      </w:r>
      <w:r w:rsidR="00A31635">
        <w:rPr>
          <w:snapToGrid/>
        </w:rPr>
        <w:t xml:space="preserve"> ambiguous, it is unclear what agreement the parties reached on March 27, 2010</w:t>
      </w:r>
      <w:r w:rsidR="00752BF5">
        <w:rPr>
          <w:snapToGrid/>
        </w:rPr>
        <w:t xml:space="preserve">.  </w:t>
      </w:r>
      <w:r w:rsidR="00A31635">
        <w:rPr>
          <w:snapToGrid/>
        </w:rPr>
        <w:t>R</w:t>
      </w:r>
      <w:r w:rsidR="00752BF5">
        <w:rPr>
          <w:snapToGrid/>
        </w:rPr>
        <w:t>easonable minds may draw different conclusions from that conversation</w:t>
      </w:r>
      <w:r w:rsidR="006C1ED6">
        <w:rPr>
          <w:snapToGrid/>
        </w:rPr>
        <w:t>, and so the Plaintiff fails to meet its burden of proof showing an understanding be</w:t>
      </w:r>
      <w:r w:rsidR="00160128">
        <w:rPr>
          <w:snapToGrid/>
        </w:rPr>
        <w:t xml:space="preserve">tween the parties that the work </w:t>
      </w:r>
      <w:r w:rsidR="006C1ED6">
        <w:rPr>
          <w:snapToGrid/>
        </w:rPr>
        <w:t>to-be-made would be for hire.</w:t>
      </w:r>
    </w:p>
    <w:p w14:paraId="687248E1" w14:textId="77777777" w:rsidR="0064323D" w:rsidRDefault="0067271D" w:rsidP="0064323D">
      <w:pPr>
        <w:rPr>
          <w:snapToGrid/>
        </w:rPr>
      </w:pPr>
      <w:r>
        <w:rPr>
          <w:snapToGrid/>
        </w:rPr>
        <w:t xml:space="preserve">Even if, as a general matter, this Court were to adopt the </w:t>
      </w:r>
      <w:r w:rsidR="00863558">
        <w:rPr>
          <w:i/>
          <w:snapToGrid/>
        </w:rPr>
        <w:t xml:space="preserve">Playboy </w:t>
      </w:r>
      <w:r w:rsidR="00863558">
        <w:rPr>
          <w:snapToGrid/>
        </w:rPr>
        <w:t xml:space="preserve">approach that allows for a more lenient approach to the writing requirement of </w:t>
      </w:r>
      <w:r w:rsidR="00403826">
        <w:rPr>
          <w:snapToGrid/>
        </w:rPr>
        <w:t>the Copyright Act of 1976</w:t>
      </w:r>
      <w:r w:rsidR="00863558">
        <w:rPr>
          <w:snapToGrid/>
        </w:rPr>
        <w:t xml:space="preserve">, the conversation of March 27 as stipulated in Plaintiff’s complaint is insufficient to show a clear understanding between the parties.  </w:t>
      </w:r>
    </w:p>
    <w:p w14:paraId="0362C618" w14:textId="77777777" w:rsidR="00A84C4C" w:rsidRDefault="00A84C4C">
      <w:pPr>
        <w:widowControl/>
        <w:spacing w:line="240" w:lineRule="auto"/>
        <w:ind w:firstLine="0"/>
        <w:jc w:val="left"/>
        <w:rPr>
          <w:b/>
        </w:rPr>
      </w:pPr>
      <w:r>
        <w:br w:type="page"/>
      </w:r>
    </w:p>
    <w:p w14:paraId="7F563ED6" w14:textId="77777777" w:rsidR="008D6B64" w:rsidRDefault="006F270D" w:rsidP="00F20763">
      <w:pPr>
        <w:pStyle w:val="Heading3"/>
        <w:rPr>
          <w:i/>
          <w:snapToGrid/>
        </w:rPr>
      </w:pPr>
      <w:r>
        <w:lastRenderedPageBreak/>
        <w:t>C.</w:t>
      </w:r>
      <w:r w:rsidR="008D6B64">
        <w:rPr>
          <w:snapToGrid/>
        </w:rPr>
        <w:tab/>
        <w:t xml:space="preserve">The Facts Of This Case Are Fundamentally Distinguishable From Those In </w:t>
      </w:r>
      <w:r w:rsidR="008D6B64">
        <w:rPr>
          <w:i/>
          <w:snapToGrid/>
        </w:rPr>
        <w:t>Playboy v. Dumas</w:t>
      </w:r>
    </w:p>
    <w:p w14:paraId="2AB599D2" w14:textId="77777777" w:rsidR="008D6B64" w:rsidRPr="000C432C" w:rsidRDefault="000C432C" w:rsidP="008D6B64">
      <w:r>
        <w:t>The c</w:t>
      </w:r>
      <w:r w:rsidR="008D6B64">
        <w:t xml:space="preserve">ompeting rulings from the Seventh and Second </w:t>
      </w:r>
      <w:r>
        <w:t xml:space="preserve">Circuits discussed above arose from distinct fact patterns, and so the Court should consider the issue of which set of facts is more applicable to the facts here.  In </w:t>
      </w:r>
      <w:r w:rsidR="008D6B64">
        <w:rPr>
          <w:i/>
        </w:rPr>
        <w:t>Schiller</w:t>
      </w:r>
      <w:r w:rsidR="008D6B64">
        <w:t xml:space="preserve"> the writing followed the creation of the work by</w:t>
      </w:r>
      <w:r w:rsidR="00F20763">
        <w:t xml:space="preserve"> a</w:t>
      </w:r>
      <w:r w:rsidR="008D6B64">
        <w:t xml:space="preserve"> </w:t>
      </w:r>
      <w:r>
        <w:t>period of years</w:t>
      </w:r>
      <w:r w:rsidR="008D6B64">
        <w:t xml:space="preserve">, while the writing in </w:t>
      </w:r>
      <w:r w:rsidR="008D6B64">
        <w:rPr>
          <w:i/>
        </w:rPr>
        <w:t>Playboy</w:t>
      </w:r>
      <w:r w:rsidR="008D6B64">
        <w:t xml:space="preserve"> was stamped on the back of </w:t>
      </w:r>
      <w:r w:rsidR="00F20763">
        <w:t>each</w:t>
      </w:r>
      <w:r w:rsidR="008D6B64">
        <w:t xml:space="preserve"> paycheck</w:t>
      </w:r>
      <w:r w:rsidR="00F20763">
        <w:t xml:space="preserve"> exchanged for a painting</w:t>
      </w:r>
      <w:r>
        <w:t xml:space="preserve">.  </w:t>
      </w:r>
      <w:r>
        <w:rPr>
          <w:i/>
        </w:rPr>
        <w:t>Schiller</w:t>
      </w:r>
      <w:r>
        <w:t xml:space="preserve">, at 412; </w:t>
      </w:r>
      <w:r>
        <w:rPr>
          <w:i/>
        </w:rPr>
        <w:t>Playboy</w:t>
      </w:r>
      <w:r>
        <w:t xml:space="preserve">, at 552.  At </w:t>
      </w:r>
      <w:r w:rsidR="008D6B64">
        <w:t>first glance the facts of the latter more closely resemble the facts of this case.</w:t>
      </w:r>
      <w:r>
        <w:t xml:space="preserve">  Further inquiry reveals, however, that the </w:t>
      </w:r>
      <w:r>
        <w:rPr>
          <w:i/>
        </w:rPr>
        <w:t>Playboy</w:t>
      </w:r>
      <w:r>
        <w:t xml:space="preserve"> fact pattern was substantially unique</w:t>
      </w:r>
      <w:r w:rsidR="00F20763">
        <w:t xml:space="preserve"> unto itself</w:t>
      </w:r>
      <w:r>
        <w:t>.</w:t>
      </w:r>
    </w:p>
    <w:p w14:paraId="13DACD5B" w14:textId="77777777" w:rsidR="008D6B64" w:rsidRDefault="008D6B64" w:rsidP="008D6B64">
      <w:r>
        <w:t xml:space="preserve">The </w:t>
      </w:r>
      <w:r w:rsidR="00606E73">
        <w:t xml:space="preserve">work-made-for-hire </w:t>
      </w:r>
      <w:r>
        <w:t xml:space="preserve">issue of the </w:t>
      </w:r>
      <w:r w:rsidRPr="00CE64E0">
        <w:rPr>
          <w:i/>
        </w:rPr>
        <w:t>Playboy</w:t>
      </w:r>
      <w:r>
        <w:t xml:space="preserve"> case</w:t>
      </w:r>
      <w:r>
        <w:rPr>
          <w:i/>
        </w:rPr>
        <w:t xml:space="preserve"> </w:t>
      </w:r>
      <w:r>
        <w:t>revolved around a series of paintings made over time.  One group of paintings was subject to the Copyright Act</w:t>
      </w:r>
      <w:r w:rsidR="00403826">
        <w:t xml:space="preserve"> of 1909</w:t>
      </w:r>
      <w:r>
        <w:t>, and the other subject to the Copyright Act</w:t>
      </w:r>
      <w:r w:rsidR="00403826">
        <w:t xml:space="preserve"> of 1976</w:t>
      </w:r>
      <w:r>
        <w:t xml:space="preserve">.  </w:t>
      </w:r>
      <w:proofErr w:type="gramStart"/>
      <w:r>
        <w:rPr>
          <w:i/>
        </w:rPr>
        <w:t>Playboy</w:t>
      </w:r>
      <w:r>
        <w:t>, at 553.</w:t>
      </w:r>
      <w:proofErr w:type="gramEnd"/>
      <w:r>
        <w:t xml:space="preserve">  The Second Circuit found that if the earlier paintings were made at the magazine’s expense and instance, then they were works made for hire.  </w:t>
      </w:r>
      <w:proofErr w:type="gramStart"/>
      <w:r>
        <w:rPr>
          <w:i/>
        </w:rPr>
        <w:t>Id</w:t>
      </w:r>
      <w:r w:rsidR="00DB489E">
        <w:t>.</w:t>
      </w:r>
      <w:r>
        <w:t xml:space="preserve"> at 556.</w:t>
      </w:r>
      <w:proofErr w:type="gramEnd"/>
      <w:r>
        <w:t xml:space="preserve">  As for the paintings governed by the 1976 statute, the Second Circuit relied on a non-binding treatise when it ruled that writings made after the creation of a work could confirm work-made-for-hire status.  </w:t>
      </w:r>
      <w:proofErr w:type="gramStart"/>
      <w:r>
        <w:rPr>
          <w:i/>
        </w:rPr>
        <w:t>Id.</w:t>
      </w:r>
      <w:r>
        <w:t xml:space="preserve"> at 559.</w:t>
      </w:r>
      <w:proofErr w:type="gramEnd"/>
      <w:r>
        <w:t xml:space="preserve">  Given the facts of that case, where both parties adapted slowly to a change in law (</w:t>
      </w:r>
      <w:r>
        <w:rPr>
          <w:i/>
        </w:rPr>
        <w:t>Id.</w:t>
      </w:r>
      <w:r>
        <w:t xml:space="preserve"> at 552-53), fairness may very well have demanded that the works have the same status.  Accordingly (and as discussed in the previous section of this memorandum) that Court’s language is tailored narrowly to the facts of that case when it conducts</w:t>
      </w:r>
      <w:r w:rsidRPr="007A5174">
        <w:t> </w:t>
      </w:r>
      <w:r>
        <w:t>“</w:t>
      </w:r>
      <w:r w:rsidRPr="007A5174">
        <w:t>further testing in the crucible of fact patterns</w:t>
      </w:r>
      <w:r>
        <w:t xml:space="preserve">.”  </w:t>
      </w:r>
      <w:proofErr w:type="gramStart"/>
      <w:r>
        <w:rPr>
          <w:i/>
        </w:rPr>
        <w:t>Id.</w:t>
      </w:r>
      <w:r>
        <w:t xml:space="preserve"> at 559 (quoting </w:t>
      </w:r>
      <w:proofErr w:type="spellStart"/>
      <w:r>
        <w:rPr>
          <w:i/>
        </w:rPr>
        <w:t>Nimmer</w:t>
      </w:r>
      <w:proofErr w:type="spellEnd"/>
      <w:r w:rsidR="00403826">
        <w:t xml:space="preserve">, </w:t>
      </w:r>
      <w:r w:rsidR="00403826">
        <w:rPr>
          <w:i/>
        </w:rPr>
        <w:t>supra</w:t>
      </w:r>
      <w:r>
        <w:t xml:space="preserve"> </w:t>
      </w:r>
      <w:r w:rsidRPr="007A5174">
        <w:t>§ 5.03[B][2][b]</w:t>
      </w:r>
      <w:r>
        <w:t>)</w:t>
      </w:r>
      <w:r w:rsidRPr="00DF7791">
        <w:t>.</w:t>
      </w:r>
      <w:proofErr w:type="gramEnd"/>
      <w:r>
        <w:t xml:space="preserve">  The fact pattern of </w:t>
      </w:r>
      <w:r>
        <w:rPr>
          <w:i/>
        </w:rPr>
        <w:t>Playboy</w:t>
      </w:r>
      <w:r w:rsidR="00F20763">
        <w:rPr>
          <w:i/>
        </w:rPr>
        <w:t xml:space="preserve"> v. Dumas</w:t>
      </w:r>
      <w:r>
        <w:t>, which is similar at first glance, reveals itself to be fundamentally different from the facts of this case</w:t>
      </w:r>
      <w:r w:rsidR="00606E73">
        <w:t>,</w:t>
      </w:r>
      <w:r>
        <w:t xml:space="preserve"> inasmuch as</w:t>
      </w:r>
      <w:r w:rsidR="00606E73">
        <w:t xml:space="preserve"> here there is no pressing need for conformity in the status of a series of works.  Unlike the </w:t>
      </w:r>
      <w:r w:rsidR="00606E73">
        <w:rPr>
          <w:i/>
        </w:rPr>
        <w:t xml:space="preserve">Playboy </w:t>
      </w:r>
      <w:r w:rsidR="00606E73">
        <w:t xml:space="preserve">paintings, the </w:t>
      </w:r>
      <w:r w:rsidR="00606E73">
        <w:lastRenderedPageBreak/>
        <w:t>work-made-for-hire status of “Anticipatory Repudiation” is governed by a singular version of U.S.C.</w:t>
      </w:r>
      <w:r w:rsidR="00A84C4C">
        <w:t xml:space="preserve"> Title 17.</w:t>
      </w:r>
      <w:r w:rsidR="00606E73">
        <w:t xml:space="preserve">  That unique aspect of </w:t>
      </w:r>
      <w:r w:rsidR="00606E73">
        <w:rPr>
          <w:i/>
        </w:rPr>
        <w:t>Playboy v. Dumas</w:t>
      </w:r>
      <w:r w:rsidR="00606E73">
        <w:t xml:space="preserve"> suggests that the Court leave the Second Circuit’s ruling </w:t>
      </w:r>
      <w:r w:rsidR="00555766">
        <w:t>in its esoteric corner.</w:t>
      </w:r>
    </w:p>
    <w:p w14:paraId="4C04DB26" w14:textId="77777777" w:rsidR="00A84C4C" w:rsidRPr="00606E73" w:rsidRDefault="00A84C4C" w:rsidP="008D6B64">
      <w:pPr>
        <w:rPr>
          <w:snapToGrid/>
        </w:rPr>
      </w:pPr>
    </w:p>
    <w:p w14:paraId="71581865" w14:textId="77777777" w:rsidR="00863558" w:rsidRDefault="006E51EF" w:rsidP="006E51EF">
      <w:pPr>
        <w:pStyle w:val="Heading2"/>
        <w:rPr>
          <w:snapToGrid/>
        </w:rPr>
      </w:pPr>
      <w:r>
        <w:rPr>
          <w:snapToGrid/>
        </w:rPr>
        <w:t xml:space="preserve">II.  </w:t>
      </w:r>
      <w:r>
        <w:rPr>
          <w:snapToGrid/>
        </w:rPr>
        <w:tab/>
        <w:t xml:space="preserve">THIS COURT SHOULD ADOPT THE </w:t>
      </w:r>
      <w:r>
        <w:rPr>
          <w:i/>
          <w:snapToGrid/>
        </w:rPr>
        <w:t>SCHILLER</w:t>
      </w:r>
      <w:r>
        <w:rPr>
          <w:snapToGrid/>
        </w:rPr>
        <w:t xml:space="preserve"> RULE AS A MATTER OF SOUND PUBLIC POLICY.</w:t>
      </w:r>
    </w:p>
    <w:p w14:paraId="5BACC17E" w14:textId="77777777" w:rsidR="006E51EF" w:rsidRPr="006E51EF" w:rsidRDefault="006E51EF" w:rsidP="006E51EF"/>
    <w:p w14:paraId="0D87E0B5" w14:textId="77777777" w:rsidR="00A52E5A" w:rsidRDefault="0067271D" w:rsidP="00A52E5A">
      <w:pPr>
        <w:spacing w:after="240"/>
      </w:pPr>
      <w:r>
        <w:rPr>
          <w:snapToGrid/>
        </w:rPr>
        <w:t>The</w:t>
      </w:r>
      <w:r w:rsidR="00555766">
        <w:rPr>
          <w:snapToGrid/>
        </w:rPr>
        <w:t xml:space="preserve"> underlying dispute </w:t>
      </w:r>
      <w:r>
        <w:rPr>
          <w:snapToGrid/>
        </w:rPr>
        <w:t xml:space="preserve">between the </w:t>
      </w:r>
      <w:r>
        <w:rPr>
          <w:i/>
          <w:snapToGrid/>
        </w:rPr>
        <w:t xml:space="preserve">Schiller </w:t>
      </w:r>
      <w:r>
        <w:rPr>
          <w:snapToGrid/>
        </w:rPr>
        <w:t xml:space="preserve">court in the Seventh Circuit and the </w:t>
      </w:r>
      <w:r>
        <w:rPr>
          <w:i/>
          <w:snapToGrid/>
        </w:rPr>
        <w:t xml:space="preserve">Playboy </w:t>
      </w:r>
      <w:r>
        <w:rPr>
          <w:snapToGrid/>
        </w:rPr>
        <w:t xml:space="preserve">court in the Second is whether a bright-line rule requiring the </w:t>
      </w:r>
      <w:r w:rsidR="00B02A7E">
        <w:rPr>
          <w:snapToGrid/>
        </w:rPr>
        <w:t xml:space="preserve">written </w:t>
      </w:r>
      <w:r>
        <w:rPr>
          <w:snapToGrid/>
        </w:rPr>
        <w:t xml:space="preserve">work-made-for-hire agreement to be executed </w:t>
      </w:r>
      <w:r w:rsidR="00555766">
        <w:rPr>
          <w:snapToGrid/>
        </w:rPr>
        <w:t xml:space="preserve">prior </w:t>
      </w:r>
      <w:r>
        <w:rPr>
          <w:snapToGrid/>
        </w:rPr>
        <w:t xml:space="preserve">to </w:t>
      </w:r>
      <w:r w:rsidR="00555766">
        <w:rPr>
          <w:snapToGrid/>
        </w:rPr>
        <w:t xml:space="preserve">the </w:t>
      </w:r>
      <w:r>
        <w:rPr>
          <w:snapToGrid/>
        </w:rPr>
        <w:t xml:space="preserve">creation </w:t>
      </w:r>
      <w:r w:rsidR="00555766">
        <w:rPr>
          <w:snapToGrid/>
        </w:rPr>
        <w:t xml:space="preserve">of the work </w:t>
      </w:r>
      <w:r>
        <w:rPr>
          <w:snapToGrid/>
        </w:rPr>
        <w:t>makes for good public policy</w:t>
      </w:r>
      <w:r w:rsidR="00A71A67">
        <w:rPr>
          <w:snapToGrid/>
        </w:rPr>
        <w:t xml:space="preserve">.  </w:t>
      </w:r>
      <w:r w:rsidR="00F65E81">
        <w:rPr>
          <w:snapToGrid/>
          <w:szCs w:val="24"/>
        </w:rPr>
        <w:t>The Seventh Circuit held that t</w:t>
      </w:r>
      <w:r w:rsidR="00A71A67">
        <w:rPr>
          <w:snapToGrid/>
          <w:szCs w:val="24"/>
        </w:rPr>
        <w:t xml:space="preserve">he writing </w:t>
      </w:r>
      <w:r w:rsidR="00D43E5E">
        <w:rPr>
          <w:snapToGrid/>
          <w:szCs w:val="24"/>
        </w:rPr>
        <w:t xml:space="preserve">requirement serves not only as a statute of frauds, which protects against false claims, but also </w:t>
      </w:r>
      <w:r w:rsidR="00B02A7E">
        <w:rPr>
          <w:snapToGrid/>
          <w:szCs w:val="24"/>
        </w:rPr>
        <w:t xml:space="preserve">that the writing requirement </w:t>
      </w:r>
      <w:r w:rsidR="00D43E5E">
        <w:rPr>
          <w:snapToGrid/>
          <w:szCs w:val="24"/>
        </w:rPr>
        <w:t>serves to make ownership in intellectual property clear and definite, which serves the interest</w:t>
      </w:r>
      <w:r w:rsidR="00A271F1">
        <w:rPr>
          <w:snapToGrid/>
          <w:szCs w:val="24"/>
        </w:rPr>
        <w:t>s</w:t>
      </w:r>
      <w:r w:rsidR="00D43E5E">
        <w:rPr>
          <w:snapToGrid/>
          <w:szCs w:val="24"/>
        </w:rPr>
        <w:t xml:space="preserve"> of commerce.  </w:t>
      </w:r>
      <w:proofErr w:type="gramStart"/>
      <w:r w:rsidR="00D43E5E">
        <w:rPr>
          <w:i/>
          <w:snapToGrid/>
          <w:szCs w:val="24"/>
        </w:rPr>
        <w:t>Schiller</w:t>
      </w:r>
      <w:r w:rsidR="00D43E5E">
        <w:rPr>
          <w:snapToGrid/>
          <w:szCs w:val="24"/>
        </w:rPr>
        <w:t>, at 412.</w:t>
      </w:r>
      <w:proofErr w:type="gramEnd"/>
      <w:r w:rsidR="00D43E5E">
        <w:rPr>
          <w:snapToGrid/>
          <w:szCs w:val="24"/>
        </w:rPr>
        <w:t xml:space="preserve">  On the other hand, the bright-line rule might frustrate parties whose intent and mutual agreement was clear prior to creation of the work, but </w:t>
      </w:r>
      <w:r w:rsidR="00A271F1">
        <w:rPr>
          <w:snapToGrid/>
          <w:szCs w:val="24"/>
        </w:rPr>
        <w:t>only later</w:t>
      </w:r>
      <w:r w:rsidR="00D43E5E">
        <w:rPr>
          <w:snapToGrid/>
          <w:szCs w:val="24"/>
        </w:rPr>
        <w:t xml:space="preserve"> memorialized in writing.  </w:t>
      </w:r>
      <w:proofErr w:type="gramStart"/>
      <w:r w:rsidR="00D43E5E">
        <w:rPr>
          <w:i/>
          <w:snapToGrid/>
          <w:szCs w:val="24"/>
        </w:rPr>
        <w:t>Playboy</w:t>
      </w:r>
      <w:r w:rsidR="00160128">
        <w:rPr>
          <w:snapToGrid/>
          <w:szCs w:val="24"/>
        </w:rPr>
        <w:t>, at 560</w:t>
      </w:r>
      <w:r w:rsidR="00D43E5E">
        <w:rPr>
          <w:snapToGrid/>
          <w:szCs w:val="24"/>
        </w:rPr>
        <w:t xml:space="preserve"> </w:t>
      </w:r>
      <w:r w:rsidR="00160128">
        <w:rPr>
          <w:snapToGrid/>
          <w:szCs w:val="24"/>
        </w:rPr>
        <w:t>(</w:t>
      </w:r>
      <w:r w:rsidR="00D43E5E">
        <w:t>citing</w:t>
      </w:r>
      <w:r w:rsidR="00D43E5E" w:rsidRPr="00056D91">
        <w:t> </w:t>
      </w:r>
      <w:proofErr w:type="spellStart"/>
      <w:r w:rsidR="00D43E5E" w:rsidRPr="007A5174">
        <w:rPr>
          <w:i/>
        </w:rPr>
        <w:t>Nimmer</w:t>
      </w:r>
      <w:proofErr w:type="spellEnd"/>
      <w:r w:rsidR="00D43E5E" w:rsidRPr="007A5174">
        <w:rPr>
          <w:i/>
        </w:rPr>
        <w:t>,</w:t>
      </w:r>
      <w:r w:rsidR="00D43E5E" w:rsidRPr="00056D91">
        <w:t> </w:t>
      </w:r>
      <w:r w:rsidR="00A84C4C">
        <w:rPr>
          <w:i/>
        </w:rPr>
        <w:t xml:space="preserve">supra, </w:t>
      </w:r>
      <w:r w:rsidR="00D43E5E">
        <w:t xml:space="preserve">1 </w:t>
      </w:r>
      <w:r w:rsidR="00D43E5E" w:rsidRPr="00056D91">
        <w:t>§ 5.03[B][2][b] (1994</w:t>
      </w:r>
      <w:r w:rsidR="00D43E5E">
        <w:t>)</w:t>
      </w:r>
      <w:r w:rsidR="007A5174">
        <w:t>)</w:t>
      </w:r>
      <w:r w:rsidR="00D43E5E">
        <w:t>.</w:t>
      </w:r>
      <w:proofErr w:type="gramEnd"/>
      <w:r w:rsidR="00D01053">
        <w:t xml:space="preserve">  </w:t>
      </w:r>
      <w:r w:rsidR="00CE64E0">
        <w:t xml:space="preserve">  </w:t>
      </w:r>
      <w:r w:rsidR="009F5D8C">
        <w:t xml:space="preserve">The </w:t>
      </w:r>
      <w:r w:rsidR="00B02A7E">
        <w:t>Second Circuit</w:t>
      </w:r>
      <w:r w:rsidR="009F5D8C">
        <w:t xml:space="preserve"> </w:t>
      </w:r>
      <w:r w:rsidR="00160128">
        <w:t>considered, but</w:t>
      </w:r>
      <w:r w:rsidR="009F5D8C">
        <w:t xml:space="preserve"> </w:t>
      </w:r>
      <w:r w:rsidR="00160128">
        <w:t>declined to follow</w:t>
      </w:r>
      <w:r w:rsidR="009F5D8C">
        <w:t xml:space="preserve"> </w:t>
      </w:r>
      <w:r w:rsidR="00B02A7E">
        <w:t xml:space="preserve">the Seventh </w:t>
      </w:r>
      <w:r w:rsidR="00EC2CA9">
        <w:t>Circui</w:t>
      </w:r>
      <w:r w:rsidR="00160128">
        <w:t>t</w:t>
      </w:r>
      <w:r w:rsidR="009F5D8C">
        <w:t>.</w:t>
      </w:r>
      <w:r w:rsidR="00555766">
        <w:t xml:space="preserve">  </w:t>
      </w:r>
      <w:proofErr w:type="gramStart"/>
      <w:r w:rsidR="00555766">
        <w:rPr>
          <w:i/>
        </w:rPr>
        <w:t>Playboy</w:t>
      </w:r>
      <w:r w:rsidR="00555766">
        <w:t>, 558-59.</w:t>
      </w:r>
      <w:proofErr w:type="gramEnd"/>
      <w:r w:rsidR="00555766">
        <w:t xml:space="preserve"> </w:t>
      </w:r>
      <w:r w:rsidR="00555766">
        <w:rPr>
          <w:i/>
        </w:rPr>
        <w:t xml:space="preserve"> </w:t>
      </w:r>
      <w:r w:rsidR="00555766">
        <w:t xml:space="preserve">That the </w:t>
      </w:r>
      <w:r w:rsidR="00555766">
        <w:rPr>
          <w:i/>
        </w:rPr>
        <w:t>Playboy</w:t>
      </w:r>
      <w:r w:rsidR="00555766">
        <w:t xml:space="preserve"> standard envisions more nuanced factual circumstances than the </w:t>
      </w:r>
      <w:r w:rsidR="00555766">
        <w:rPr>
          <w:i/>
        </w:rPr>
        <w:t>Schiller</w:t>
      </w:r>
      <w:r w:rsidR="00555766">
        <w:t xml:space="preserve"> rule would seem to render it both more precise and more flexible.</w:t>
      </w:r>
      <w:r w:rsidR="009F5D8C">
        <w:t xml:space="preserve">  As discussed below, however, </w:t>
      </w:r>
      <w:r w:rsidR="00B02A7E">
        <w:t xml:space="preserve">the </w:t>
      </w:r>
      <w:r w:rsidR="00B02A7E">
        <w:rPr>
          <w:i/>
        </w:rPr>
        <w:t>Schiller</w:t>
      </w:r>
      <w:r w:rsidR="00B02A7E">
        <w:t xml:space="preserve"> bright-line rule makes better public policy</w:t>
      </w:r>
      <w:r w:rsidR="00160128">
        <w:t>:</w:t>
      </w:r>
      <w:r w:rsidR="00B02A7E">
        <w:t xml:space="preserve"> firstly</w:t>
      </w:r>
      <w:r w:rsidR="00160128">
        <w:t>,</w:t>
      </w:r>
      <w:r w:rsidR="00B02A7E">
        <w:t xml:space="preserve"> because it is more in line with the plain language, intent and meaning of the statute</w:t>
      </w:r>
      <w:r w:rsidR="00160128">
        <w:t>;</w:t>
      </w:r>
      <w:r w:rsidR="00B02A7E">
        <w:t xml:space="preserve"> secondly</w:t>
      </w:r>
      <w:r w:rsidR="00160128">
        <w:t>,</w:t>
      </w:r>
      <w:r w:rsidR="00B02A7E">
        <w:t xml:space="preserve"> because the </w:t>
      </w:r>
      <w:r w:rsidR="00B02A7E">
        <w:rPr>
          <w:i/>
        </w:rPr>
        <w:t>Playboy</w:t>
      </w:r>
      <w:r w:rsidR="00B02A7E">
        <w:t xml:space="preserve"> standard would increase litigation costs, transaction costs and</w:t>
      </w:r>
      <w:r w:rsidR="00EC2CA9">
        <w:t xml:space="preserve"> commercial uncertainty</w:t>
      </w:r>
      <w:r w:rsidR="00160128">
        <w:t>;</w:t>
      </w:r>
      <w:r w:rsidR="00EC2CA9">
        <w:t xml:space="preserve"> and thirdly</w:t>
      </w:r>
      <w:r w:rsidR="00160128">
        <w:t>,</w:t>
      </w:r>
      <w:r w:rsidR="00EC2CA9">
        <w:t xml:space="preserve"> because the </w:t>
      </w:r>
      <w:r w:rsidR="00EC2CA9">
        <w:rPr>
          <w:i/>
        </w:rPr>
        <w:t>Schiller</w:t>
      </w:r>
      <w:r w:rsidR="00EC2CA9">
        <w:t xml:space="preserve"> rule better protects the artist-for-hire, who is in a weaker bargaining position.</w:t>
      </w:r>
    </w:p>
    <w:p w14:paraId="30C442BE" w14:textId="77777777" w:rsidR="00A52E5A" w:rsidRPr="00A52E5A" w:rsidRDefault="006E51EF" w:rsidP="006E51EF">
      <w:pPr>
        <w:pStyle w:val="Heading3"/>
      </w:pPr>
      <w:r>
        <w:lastRenderedPageBreak/>
        <w:t>A</w:t>
      </w:r>
      <w:r w:rsidR="00A52E5A" w:rsidRPr="00A52E5A">
        <w:t>.</w:t>
      </w:r>
      <w:r w:rsidR="00A52E5A" w:rsidRPr="00A52E5A">
        <w:tab/>
        <w:t xml:space="preserve">The </w:t>
      </w:r>
      <w:r>
        <w:t>Language Of The Statute Intends A Bright-Line Rule</w:t>
      </w:r>
    </w:p>
    <w:p w14:paraId="74413555" w14:textId="77777777" w:rsidR="00665407" w:rsidRPr="005538DD" w:rsidRDefault="00250628" w:rsidP="005538DD">
      <w:pPr>
        <w:spacing w:after="240"/>
      </w:pPr>
      <w:r>
        <w:t>T</w:t>
      </w:r>
      <w:r w:rsidR="00A52E5A">
        <w:t xml:space="preserve">he Court should once again contemplate </w:t>
      </w:r>
      <w:r w:rsidR="00A52E5A" w:rsidRPr="00A52E5A">
        <w:rPr>
          <w:i/>
        </w:rPr>
        <w:t>what</w:t>
      </w:r>
      <w:r w:rsidR="00A52E5A">
        <w:t xml:space="preserve"> t</w:t>
      </w:r>
      <w:r w:rsidR="00665407" w:rsidRPr="00A52E5A">
        <w:t>he</w:t>
      </w:r>
      <w:r w:rsidR="00665407">
        <w:t xml:space="preserve"> pertinent text reads</w:t>
      </w:r>
      <w:r w:rsidR="006E51EF">
        <w:t xml:space="preserve">.  The </w:t>
      </w:r>
      <w:r w:rsidR="005538DD">
        <w:t>statute</w:t>
      </w:r>
      <w:r>
        <w:t xml:space="preserve"> </w:t>
      </w:r>
      <w:r w:rsidR="006E51EF">
        <w:t>requires that “</w:t>
      </w:r>
      <w:r w:rsidR="00665407" w:rsidRPr="006E51EF">
        <w:rPr>
          <w:snapToGrid/>
        </w:rPr>
        <w:t>the parties expressly agree in a written instrument</w:t>
      </w:r>
      <w:r w:rsidR="00665407" w:rsidRPr="00665407">
        <w:rPr>
          <w:snapToGrid/>
        </w:rPr>
        <w:t xml:space="preserve"> signed by them that the work</w:t>
      </w:r>
      <w:r w:rsidR="00665407" w:rsidRPr="00665407">
        <w:rPr>
          <w:i/>
          <w:snapToGrid/>
        </w:rPr>
        <w:t xml:space="preserve"> </w:t>
      </w:r>
      <w:r w:rsidR="00665407" w:rsidRPr="006E51EF">
        <w:rPr>
          <w:snapToGrid/>
        </w:rPr>
        <w:t>shall be considered</w:t>
      </w:r>
      <w:r w:rsidR="006E51EF">
        <w:rPr>
          <w:snapToGrid/>
        </w:rPr>
        <w:t xml:space="preserve"> a work made for hire.” </w:t>
      </w:r>
      <w:proofErr w:type="gramStart"/>
      <w:r w:rsidR="00A84C4C">
        <w:rPr>
          <w:snapToGrid/>
        </w:rPr>
        <w:t xml:space="preserve">Copyright Act of 1976 </w:t>
      </w:r>
      <w:r w:rsidR="00665407" w:rsidRPr="00665407">
        <w:rPr>
          <w:snapToGrid/>
        </w:rPr>
        <w:t>17 U.S.C</w:t>
      </w:r>
      <w:r w:rsidR="005538DD">
        <w:rPr>
          <w:snapToGrid/>
        </w:rPr>
        <w:t>. § 101(2)</w:t>
      </w:r>
      <w:r w:rsidR="00A84C4C">
        <w:rPr>
          <w:snapToGrid/>
        </w:rPr>
        <w:t xml:space="preserve"> (2006)</w:t>
      </w:r>
      <w:r w:rsidR="005538DD">
        <w:rPr>
          <w:snapToGrid/>
        </w:rPr>
        <w:t>.</w:t>
      </w:r>
      <w:proofErr w:type="gramEnd"/>
      <w:r w:rsidR="005538DD">
        <w:rPr>
          <w:snapToGrid/>
        </w:rPr>
        <w:t xml:space="preserve">  As discussed above, </w:t>
      </w:r>
      <w:r w:rsidR="00235355">
        <w:rPr>
          <w:snapToGrid/>
        </w:rPr>
        <w:t xml:space="preserve">the </w:t>
      </w:r>
      <w:r w:rsidR="00A52E5A">
        <w:rPr>
          <w:snapToGrid/>
        </w:rPr>
        <w:t xml:space="preserve">plain </w:t>
      </w:r>
      <w:r w:rsidR="00235355">
        <w:rPr>
          <w:snapToGrid/>
        </w:rPr>
        <w:t>language of the statut</w:t>
      </w:r>
      <w:r w:rsidR="005538DD">
        <w:rPr>
          <w:snapToGrid/>
        </w:rPr>
        <w:t xml:space="preserve">e </w:t>
      </w:r>
      <w:r w:rsidR="00A17696">
        <w:rPr>
          <w:snapToGrid/>
        </w:rPr>
        <w:t>requires</w:t>
      </w:r>
      <w:r w:rsidR="005538DD">
        <w:rPr>
          <w:snapToGrid/>
        </w:rPr>
        <w:t xml:space="preserve"> a written instrument, which </w:t>
      </w:r>
      <w:r w:rsidR="00235355">
        <w:rPr>
          <w:snapToGrid/>
        </w:rPr>
        <w:t>co</w:t>
      </w:r>
      <w:r w:rsidR="005538DD">
        <w:rPr>
          <w:snapToGrid/>
        </w:rPr>
        <w:t xml:space="preserve">ntemplates a </w:t>
      </w:r>
      <w:r w:rsidR="005538DD" w:rsidRPr="005538DD">
        <w:rPr>
          <w:i/>
          <w:snapToGrid/>
        </w:rPr>
        <w:t>future work</w:t>
      </w:r>
      <w:r w:rsidR="005538DD">
        <w:rPr>
          <w:snapToGrid/>
        </w:rPr>
        <w:t xml:space="preserve"> to be made for hire.</w:t>
      </w:r>
      <w:r w:rsidR="005538DD">
        <w:t xml:space="preserve">  </w:t>
      </w:r>
      <w:r w:rsidR="005538DD">
        <w:rPr>
          <w:snapToGrid/>
        </w:rPr>
        <w:t xml:space="preserve">The </w:t>
      </w:r>
      <w:r w:rsidR="005538DD">
        <w:rPr>
          <w:i/>
          <w:snapToGrid/>
        </w:rPr>
        <w:t xml:space="preserve">Playboy </w:t>
      </w:r>
      <w:r w:rsidR="005538DD">
        <w:rPr>
          <w:snapToGrid/>
        </w:rPr>
        <w:t xml:space="preserve">ruling, by contrast, reaches for </w:t>
      </w:r>
      <w:proofErr w:type="spellStart"/>
      <w:r w:rsidR="005538DD">
        <w:rPr>
          <w:i/>
          <w:snapToGrid/>
        </w:rPr>
        <w:t>Nimmer</w:t>
      </w:r>
      <w:proofErr w:type="spellEnd"/>
      <w:r w:rsidR="005538DD">
        <w:rPr>
          <w:i/>
          <w:snapToGrid/>
        </w:rPr>
        <w:t xml:space="preserve"> on Copyright</w:t>
      </w:r>
      <w:r w:rsidR="00A17696">
        <w:rPr>
          <w:snapToGrid/>
        </w:rPr>
        <w:t xml:space="preserve"> in order to argue that the statutory text does not mean what it says.</w:t>
      </w:r>
      <w:r w:rsidR="00A84C4C">
        <w:rPr>
          <w:snapToGrid/>
        </w:rPr>
        <w:t xml:space="preserve">  There is no compelling reason why this</w:t>
      </w:r>
      <w:r w:rsidR="00A17696">
        <w:rPr>
          <w:snapToGrid/>
        </w:rPr>
        <w:t xml:space="preserve"> Court should stray from the language of the statute.</w:t>
      </w:r>
    </w:p>
    <w:p w14:paraId="04A7F492" w14:textId="77777777" w:rsidR="00250628" w:rsidRDefault="00A17696" w:rsidP="00A17696">
      <w:pPr>
        <w:pStyle w:val="Heading3"/>
      </w:pPr>
      <w:r>
        <w:rPr>
          <w:snapToGrid/>
        </w:rPr>
        <w:t>B</w:t>
      </w:r>
      <w:r w:rsidR="00FA24BB">
        <w:rPr>
          <w:snapToGrid/>
        </w:rPr>
        <w:t>.</w:t>
      </w:r>
      <w:r w:rsidR="00FA24BB">
        <w:rPr>
          <w:snapToGrid/>
        </w:rPr>
        <w:tab/>
        <w:t xml:space="preserve">The </w:t>
      </w:r>
      <w:r w:rsidR="00FA24BB">
        <w:rPr>
          <w:i/>
          <w:snapToGrid/>
        </w:rPr>
        <w:t>Playboy</w:t>
      </w:r>
      <w:r>
        <w:rPr>
          <w:snapToGrid/>
        </w:rPr>
        <w:t xml:space="preserve"> S</w:t>
      </w:r>
      <w:r w:rsidR="00FA24BB">
        <w:rPr>
          <w:snapToGrid/>
        </w:rPr>
        <w:t>tandard</w:t>
      </w:r>
      <w:r w:rsidR="00FA24BB" w:rsidRPr="00FA24BB">
        <w:t xml:space="preserve"> </w:t>
      </w:r>
      <w:r>
        <w:t>Would Increase Litigation C</w:t>
      </w:r>
      <w:r w:rsidR="00FA24BB">
        <w:t>osts</w:t>
      </w:r>
      <w:r>
        <w:t>, Transaction Costs And Commercial U</w:t>
      </w:r>
      <w:r w:rsidR="00FA24BB">
        <w:t>ncertainty.</w:t>
      </w:r>
    </w:p>
    <w:p w14:paraId="3A5E2DBA" w14:textId="77777777" w:rsidR="001A01E8" w:rsidRDefault="00FA24BB" w:rsidP="00FA24BB">
      <w:pPr>
        <w:spacing w:after="240"/>
      </w:pPr>
      <w:r>
        <w:t xml:space="preserve">The </w:t>
      </w:r>
      <w:r>
        <w:rPr>
          <w:i/>
        </w:rPr>
        <w:t xml:space="preserve">Playboy </w:t>
      </w:r>
      <w:r>
        <w:t xml:space="preserve">standard </w:t>
      </w:r>
      <w:r w:rsidR="001A01E8">
        <w:t xml:space="preserve">necessarily </w:t>
      </w:r>
      <w:r>
        <w:t xml:space="preserve">raises the </w:t>
      </w:r>
      <w:r w:rsidR="001A01E8">
        <w:t>question</w:t>
      </w:r>
      <w:r>
        <w:t xml:space="preserve"> of whether there </w:t>
      </w:r>
      <w:r w:rsidR="001A01E8">
        <w:t xml:space="preserve">was an agreement prior to the creation of the work.  This question, in turn, </w:t>
      </w:r>
      <w:r>
        <w:t xml:space="preserve">necessitates fact-finding as to the sufficiency of </w:t>
      </w:r>
      <w:r w:rsidR="001A01E8">
        <w:t xml:space="preserve">any such agreement.  </w:t>
      </w:r>
      <w:proofErr w:type="gramStart"/>
      <w:r w:rsidR="001A01E8">
        <w:rPr>
          <w:i/>
        </w:rPr>
        <w:t>Playboy</w:t>
      </w:r>
      <w:r w:rsidR="001A01E8">
        <w:t>, at 559.</w:t>
      </w:r>
      <w:proofErr w:type="gramEnd"/>
      <w:r w:rsidR="001A01E8">
        <w:t xml:space="preserve"> </w:t>
      </w:r>
      <w:r w:rsidR="001A01E8">
        <w:rPr>
          <w:i/>
        </w:rPr>
        <w:t xml:space="preserve"> </w:t>
      </w:r>
      <w:r w:rsidR="001A01E8">
        <w:t xml:space="preserve">This fact-finding necessitates work that would be unnecessary under the </w:t>
      </w:r>
      <w:r w:rsidR="001A01E8">
        <w:rPr>
          <w:i/>
        </w:rPr>
        <w:t xml:space="preserve">Schiller </w:t>
      </w:r>
      <w:r w:rsidR="001A01E8">
        <w:t xml:space="preserve">rule.  </w:t>
      </w:r>
      <w:r>
        <w:t xml:space="preserve">If the Court were to follow the Second Circuit, </w:t>
      </w:r>
      <w:r w:rsidR="001A01E8">
        <w:t>it would be burdened with future fact-finding expeditions in copyright infringement cases arising out of work-made-for-hire disputes.</w:t>
      </w:r>
      <w:r>
        <w:t xml:space="preserve">  </w:t>
      </w:r>
    </w:p>
    <w:p w14:paraId="4A0D043F" w14:textId="77777777" w:rsidR="000A320D" w:rsidRDefault="001A01E8" w:rsidP="000A320D">
      <w:pPr>
        <w:spacing w:after="240"/>
        <w:rPr>
          <w:snapToGrid/>
          <w:szCs w:val="24"/>
        </w:rPr>
      </w:pPr>
      <w:r>
        <w:t xml:space="preserve">The Second Circuit seems to consider the issue of transaction costs when reasoning through its standard.  </w:t>
      </w:r>
      <w:r w:rsidR="009F0BB7">
        <w:t xml:space="preserve">The </w:t>
      </w:r>
      <w:proofErr w:type="spellStart"/>
      <w:r w:rsidR="009F0BB7">
        <w:rPr>
          <w:i/>
        </w:rPr>
        <w:t>Nimmer</w:t>
      </w:r>
      <w:proofErr w:type="spellEnd"/>
      <w:r w:rsidR="009F0BB7">
        <w:t xml:space="preserve"> quotation on which the Second Circuit relies imagines a scenario where parties understood the work-for-hire arrangement, but did not complete the paperwork until later.  </w:t>
      </w:r>
      <w:proofErr w:type="gramStart"/>
      <w:r w:rsidR="009F0BB7" w:rsidRPr="009F0BB7">
        <w:rPr>
          <w:i/>
          <w:snapToGrid/>
          <w:szCs w:val="24"/>
        </w:rPr>
        <w:t>Playboy</w:t>
      </w:r>
      <w:r w:rsidRPr="001A01E8">
        <w:rPr>
          <w:snapToGrid/>
          <w:szCs w:val="24"/>
        </w:rPr>
        <w:t xml:space="preserve">, </w:t>
      </w:r>
      <w:r w:rsidR="009F0BB7">
        <w:rPr>
          <w:snapToGrid/>
          <w:szCs w:val="24"/>
        </w:rPr>
        <w:t>at</w:t>
      </w:r>
      <w:r w:rsidRPr="001A01E8">
        <w:rPr>
          <w:snapToGrid/>
          <w:szCs w:val="24"/>
        </w:rPr>
        <w:t xml:space="preserve"> </w:t>
      </w:r>
      <w:r w:rsidR="009F0BB7">
        <w:rPr>
          <w:snapToGrid/>
          <w:szCs w:val="24"/>
        </w:rPr>
        <w:t>559.</w:t>
      </w:r>
      <w:proofErr w:type="gramEnd"/>
      <w:r w:rsidR="009F0BB7">
        <w:rPr>
          <w:snapToGrid/>
          <w:szCs w:val="24"/>
        </w:rPr>
        <w:t xml:space="preserve">  This exemption from the prior-paperwork rule implies that parties will collaborate more efficiently by coming to two agreements rather than one.  However, allowing the parties to write down and sign an agreement after the work is completed opens the door to a second negotiation where one or both parties reconsider</w:t>
      </w:r>
      <w:r w:rsidR="000A320D">
        <w:rPr>
          <w:snapToGrid/>
          <w:szCs w:val="24"/>
        </w:rPr>
        <w:t>s</w:t>
      </w:r>
      <w:r w:rsidR="00A84C4C">
        <w:rPr>
          <w:snapToGrid/>
          <w:szCs w:val="24"/>
        </w:rPr>
        <w:t xml:space="preserve"> contract terms.</w:t>
      </w:r>
      <w:r w:rsidR="000A320D">
        <w:rPr>
          <w:snapToGrid/>
          <w:szCs w:val="24"/>
        </w:rPr>
        <w:t xml:space="preserve"> </w:t>
      </w:r>
    </w:p>
    <w:p w14:paraId="7068D042" w14:textId="77777777" w:rsidR="00FA24BB" w:rsidRPr="00FA24BB" w:rsidRDefault="000A320D" w:rsidP="000A320D">
      <w:pPr>
        <w:spacing w:after="240"/>
        <w:rPr>
          <w:snapToGrid/>
          <w:szCs w:val="24"/>
        </w:rPr>
      </w:pPr>
      <w:r>
        <w:rPr>
          <w:snapToGrid/>
          <w:szCs w:val="24"/>
        </w:rPr>
        <w:lastRenderedPageBreak/>
        <w:t>Marketability</w:t>
      </w:r>
      <w:r w:rsidR="00A17696">
        <w:rPr>
          <w:snapToGrid/>
          <w:szCs w:val="24"/>
        </w:rPr>
        <w:t xml:space="preserve"> of the work</w:t>
      </w:r>
      <w:r>
        <w:rPr>
          <w:snapToGrid/>
          <w:szCs w:val="24"/>
        </w:rPr>
        <w:t xml:space="preserve"> becomes an issue when </w:t>
      </w:r>
      <w:proofErr w:type="gramStart"/>
      <w:r>
        <w:rPr>
          <w:snapToGrid/>
          <w:szCs w:val="24"/>
        </w:rPr>
        <w:t>freshly-created</w:t>
      </w:r>
      <w:proofErr w:type="gramEnd"/>
      <w:r>
        <w:rPr>
          <w:snapToGrid/>
          <w:szCs w:val="24"/>
        </w:rPr>
        <w:t xml:space="preserve"> works</w:t>
      </w:r>
      <w:r w:rsidRPr="000A320D">
        <w:rPr>
          <w:snapToGrid/>
          <w:szCs w:val="24"/>
        </w:rPr>
        <w:t xml:space="preserve"> </w:t>
      </w:r>
      <w:r>
        <w:rPr>
          <w:snapToGrid/>
          <w:szCs w:val="24"/>
        </w:rPr>
        <w:t xml:space="preserve">are burdened by uncertain intellectual property ownership.  The Seventh Circuit confronts this issue directly when it highlights the above-and-beyond-the-statute-of-frauds aspect to the written requirement of </w:t>
      </w:r>
      <w:r w:rsidR="00A84C4C">
        <w:rPr>
          <w:snapToGrid/>
          <w:szCs w:val="24"/>
        </w:rPr>
        <w:t xml:space="preserve">the Copyright Act of 1976 </w:t>
      </w:r>
      <w:r>
        <w:rPr>
          <w:snapToGrid/>
          <w:szCs w:val="24"/>
        </w:rPr>
        <w:t>17 U.S.C. § 101(2)</w:t>
      </w:r>
      <w:r w:rsidR="00A84C4C">
        <w:rPr>
          <w:snapToGrid/>
          <w:szCs w:val="24"/>
        </w:rPr>
        <w:t xml:space="preserve"> (2006)</w:t>
      </w:r>
      <w:r>
        <w:rPr>
          <w:snapToGrid/>
          <w:szCs w:val="24"/>
        </w:rPr>
        <w:t>: “</w:t>
      </w:r>
      <w:r w:rsidR="00FA24BB" w:rsidRPr="00FA24BB">
        <w:rPr>
          <w:snapToGrid/>
          <w:szCs w:val="24"/>
        </w:rPr>
        <w:t>For the signed-statement requirement in section 101(2) has a second purpose</w:t>
      </w:r>
      <w:r>
        <w:rPr>
          <w:snapToGrid/>
          <w:szCs w:val="24"/>
        </w:rPr>
        <w:t xml:space="preserve">—to </w:t>
      </w:r>
      <w:r w:rsidR="00FA24BB" w:rsidRPr="00FA24BB">
        <w:rPr>
          <w:snapToGrid/>
          <w:szCs w:val="24"/>
        </w:rPr>
        <w:t>make the ownership of property rights in intellectual property clear and definite, so that such property will be readily marketable.</w:t>
      </w:r>
      <w:r>
        <w:rPr>
          <w:snapToGrid/>
          <w:szCs w:val="24"/>
        </w:rPr>
        <w:t xml:space="preserve">”  </w:t>
      </w:r>
      <w:proofErr w:type="gramStart"/>
      <w:r>
        <w:rPr>
          <w:i/>
          <w:snapToGrid/>
          <w:szCs w:val="24"/>
        </w:rPr>
        <w:t>Schiller</w:t>
      </w:r>
      <w:r w:rsidR="00FA24BB" w:rsidRPr="00FA24BB">
        <w:rPr>
          <w:snapToGrid/>
          <w:szCs w:val="24"/>
        </w:rPr>
        <w:t>,</w:t>
      </w:r>
      <w:r>
        <w:rPr>
          <w:snapToGrid/>
          <w:szCs w:val="24"/>
        </w:rPr>
        <w:t xml:space="preserve"> at</w:t>
      </w:r>
      <w:r w:rsidR="00FA24BB" w:rsidRPr="00FA24BB">
        <w:rPr>
          <w:snapToGrid/>
          <w:szCs w:val="24"/>
        </w:rPr>
        <w:t xml:space="preserve"> </w:t>
      </w:r>
      <w:r>
        <w:rPr>
          <w:snapToGrid/>
          <w:szCs w:val="24"/>
        </w:rPr>
        <w:t>412.</w:t>
      </w:r>
      <w:proofErr w:type="gramEnd"/>
      <w:r>
        <w:rPr>
          <w:snapToGrid/>
          <w:szCs w:val="24"/>
        </w:rPr>
        <w:t xml:space="preserve">  </w:t>
      </w:r>
      <w:r w:rsidR="00A17696">
        <w:rPr>
          <w:snapToGrid/>
          <w:szCs w:val="24"/>
        </w:rPr>
        <w:t>The bright-line rule that absolutely requires a prior written agreement provides the most clarity as to authorship.  Any muddiness as to authorship would stymie the marketability of a creative work.</w:t>
      </w:r>
    </w:p>
    <w:p w14:paraId="000A58FC" w14:textId="77777777" w:rsidR="00665407" w:rsidRPr="008D6B64" w:rsidRDefault="00FA24BB" w:rsidP="00A17696">
      <w:pPr>
        <w:pStyle w:val="Heading3"/>
      </w:pPr>
      <w:r>
        <w:t xml:space="preserve"> </w:t>
      </w:r>
      <w:r w:rsidR="00A17696">
        <w:t>C</w:t>
      </w:r>
      <w:r w:rsidR="000A320D">
        <w:t>.</w:t>
      </w:r>
      <w:r w:rsidR="000A320D">
        <w:tab/>
        <w:t>Those in inherently weaker bargaining positions should receive greater legal protection in contracting.</w:t>
      </w:r>
    </w:p>
    <w:p w14:paraId="28046954" w14:textId="77777777" w:rsidR="00557754" w:rsidRPr="00E13CD5" w:rsidRDefault="00E13CD5" w:rsidP="000D7C46">
      <w:pPr>
        <w:rPr>
          <w:snapToGrid/>
        </w:rPr>
      </w:pPr>
      <w:r>
        <w:rPr>
          <w:snapToGrid/>
        </w:rPr>
        <w:t>Contracting arrangements such as work-made-for-hire agreements necessarily involve some degree of bargaining, which raises the</w:t>
      </w:r>
      <w:r w:rsidR="00A17696">
        <w:rPr>
          <w:snapToGrid/>
        </w:rPr>
        <w:t xml:space="preserve"> issue</w:t>
      </w:r>
      <w:r>
        <w:rPr>
          <w:snapToGrid/>
        </w:rPr>
        <w:t xml:space="preserve"> of unequal power</w:t>
      </w:r>
      <w:r w:rsidR="00A10EE2">
        <w:rPr>
          <w:snapToGrid/>
        </w:rPr>
        <w:t xml:space="preserve"> between the bargaining parties</w:t>
      </w:r>
      <w:r>
        <w:rPr>
          <w:snapToGrid/>
        </w:rPr>
        <w:t xml:space="preserve">.  </w:t>
      </w:r>
      <w:r w:rsidR="005A714C">
        <w:rPr>
          <w:snapToGrid/>
        </w:rPr>
        <w:t>T</w:t>
      </w:r>
      <w:r w:rsidR="00557754">
        <w:rPr>
          <w:snapToGrid/>
        </w:rPr>
        <w:t>he</w:t>
      </w:r>
      <w:r w:rsidR="00557754" w:rsidRPr="002F6E24">
        <w:rPr>
          <w:snapToGrid/>
        </w:rPr>
        <w:t xml:space="preserve"> burden to contract</w:t>
      </w:r>
      <w:r w:rsidR="00557754">
        <w:rPr>
          <w:snapToGrid/>
        </w:rPr>
        <w:t xml:space="preserve"> in written form so as</w:t>
      </w:r>
      <w:r w:rsidR="00557754" w:rsidRPr="002F6E24">
        <w:rPr>
          <w:snapToGrid/>
        </w:rPr>
        <w:t xml:space="preserve"> to avoid the statutory rule</w:t>
      </w:r>
      <w:r w:rsidR="00557754">
        <w:rPr>
          <w:snapToGrid/>
        </w:rPr>
        <w:t xml:space="preserve"> </w:t>
      </w:r>
      <w:r w:rsidR="005A714C">
        <w:rPr>
          <w:snapToGrid/>
        </w:rPr>
        <w:t>should fall</w:t>
      </w:r>
      <w:r w:rsidR="00557754" w:rsidRPr="002F6E24">
        <w:rPr>
          <w:snapToGrid/>
        </w:rPr>
        <w:t xml:space="preserve"> on the purchaser, who generally has the stronger bargaining position and </w:t>
      </w:r>
      <w:proofErr w:type="gramStart"/>
      <w:r w:rsidR="00557754" w:rsidRPr="002F6E24">
        <w:rPr>
          <w:snapToGrid/>
        </w:rPr>
        <w:t>readier</w:t>
      </w:r>
      <w:proofErr w:type="gramEnd"/>
      <w:r w:rsidR="00557754" w:rsidRPr="002F6E24">
        <w:rPr>
          <w:snapToGrid/>
        </w:rPr>
        <w:t xml:space="preserve"> access to legal advice.</w:t>
      </w:r>
      <w:r w:rsidR="00557754">
        <w:rPr>
          <w:snapToGrid/>
        </w:rPr>
        <w:t xml:space="preserve"> </w:t>
      </w:r>
      <w:proofErr w:type="gramStart"/>
      <w:r w:rsidR="00557754" w:rsidRPr="002F6E24">
        <w:rPr>
          <w:i/>
          <w:snapToGrid/>
        </w:rPr>
        <w:t xml:space="preserve">Dumas v. </w:t>
      </w:r>
      <w:proofErr w:type="spellStart"/>
      <w:r w:rsidR="00557754" w:rsidRPr="002F6E24">
        <w:rPr>
          <w:i/>
          <w:snapToGrid/>
        </w:rPr>
        <w:t>Gommerman</w:t>
      </w:r>
      <w:proofErr w:type="spellEnd"/>
      <w:r w:rsidR="00557754" w:rsidRPr="002F6E24">
        <w:rPr>
          <w:snapToGrid/>
        </w:rPr>
        <w:t>, 865 F.2d 1093, 1101 (9th Cir. 1989)</w:t>
      </w:r>
      <w:r w:rsidR="00557754">
        <w:rPr>
          <w:snapToGrid/>
        </w:rPr>
        <w:t>.</w:t>
      </w:r>
      <w:proofErr w:type="gramEnd"/>
      <w:r w:rsidR="00557754">
        <w:rPr>
          <w:snapToGrid/>
        </w:rPr>
        <w:t xml:space="preserve">  </w:t>
      </w:r>
      <w:r w:rsidR="00A10EE2">
        <w:rPr>
          <w:snapToGrid/>
        </w:rPr>
        <w:t>That is, the statute of</w:t>
      </w:r>
      <w:r w:rsidR="005A714C">
        <w:rPr>
          <w:snapToGrid/>
        </w:rPr>
        <w:t xml:space="preserve"> frauds here protects artists, because</w:t>
      </w:r>
      <w:r w:rsidR="00A10EE2">
        <w:rPr>
          <w:snapToGrid/>
        </w:rPr>
        <w:t xml:space="preserve"> </w:t>
      </w:r>
      <w:r w:rsidR="005A714C">
        <w:rPr>
          <w:snapToGrid/>
        </w:rPr>
        <w:t>it prevents</w:t>
      </w:r>
      <w:r w:rsidR="00A10EE2">
        <w:rPr>
          <w:snapToGrid/>
        </w:rPr>
        <w:t xml:space="preserve"> purchasers from renegotiating or otherwise changing terms after examining the created work.  Additionally, with </w:t>
      </w:r>
      <w:proofErr w:type="gramStart"/>
      <w:r w:rsidR="00A10EE2">
        <w:rPr>
          <w:snapToGrid/>
        </w:rPr>
        <w:t>readier</w:t>
      </w:r>
      <w:proofErr w:type="gramEnd"/>
      <w:r w:rsidR="00A10EE2">
        <w:rPr>
          <w:snapToGrid/>
        </w:rPr>
        <w:t xml:space="preserve"> access to legal advice, purchasers are in a better</w:t>
      </w:r>
      <w:r>
        <w:rPr>
          <w:snapToGrid/>
        </w:rPr>
        <w:t xml:space="preserve"> position to </w:t>
      </w:r>
      <w:r w:rsidR="00A10EE2">
        <w:rPr>
          <w:snapToGrid/>
        </w:rPr>
        <w:t xml:space="preserve">provide valid written contracts.  As the Ninth Circuit intuited and as justice demands, a </w:t>
      </w:r>
      <w:r w:rsidR="005A714C">
        <w:rPr>
          <w:snapToGrid/>
        </w:rPr>
        <w:t>statute of frauds like the one in 17 U.S.C. § 101(2)</w:t>
      </w:r>
      <w:r w:rsidR="00A10EE2">
        <w:rPr>
          <w:snapToGrid/>
        </w:rPr>
        <w:t xml:space="preserve"> protects </w:t>
      </w:r>
      <w:r w:rsidR="005A714C">
        <w:rPr>
          <w:snapToGrid/>
        </w:rPr>
        <w:t>creators of works made for hire.</w:t>
      </w:r>
    </w:p>
    <w:p w14:paraId="4C4994AE" w14:textId="77777777" w:rsidR="00187D55" w:rsidRDefault="00187D55">
      <w:pPr>
        <w:widowControl/>
        <w:spacing w:line="240" w:lineRule="auto"/>
        <w:ind w:firstLine="0"/>
        <w:jc w:val="left"/>
        <w:rPr>
          <w:b/>
          <w:snapToGrid/>
          <w:u w:val="single"/>
        </w:rPr>
      </w:pPr>
      <w:r>
        <w:br w:type="page"/>
      </w:r>
    </w:p>
    <w:p w14:paraId="3DD9C488" w14:textId="77777777" w:rsidR="00557754" w:rsidRDefault="00557754" w:rsidP="00D24AA0">
      <w:pPr>
        <w:pStyle w:val="Heading1"/>
        <w:ind w:firstLine="0"/>
      </w:pPr>
      <w:r>
        <w:lastRenderedPageBreak/>
        <w:t>CONCLUSION</w:t>
      </w:r>
    </w:p>
    <w:p w14:paraId="66556FC5" w14:textId="77777777" w:rsidR="00557754" w:rsidRPr="001C388C" w:rsidRDefault="00187D55" w:rsidP="000D7C46">
      <w:r>
        <w:t xml:space="preserve">For all of the above reasons, </w:t>
      </w:r>
      <w:r w:rsidR="00DC6169">
        <w:t xml:space="preserve">the Court would do justice by dismissing Plaintiff’s claims for failure to state a claim upon which relief may be granted, pursuant to Federal Rule of Civil Procedure 12(b)(6).  </w:t>
      </w:r>
      <w:r>
        <w:t>Plaintiff</w:t>
      </w:r>
      <w:r w:rsidR="00557754">
        <w:t xml:space="preserve"> OGS TV, Inc. </w:t>
      </w:r>
      <w:r>
        <w:t>failed to provide Defendant Lime with a written work-made-for-hire agreement in its initial negotiation for the screenplay on March 27, 2010</w:t>
      </w:r>
      <w:r w:rsidR="00557754">
        <w:t xml:space="preserve">.  </w:t>
      </w:r>
      <w:r>
        <w:t>After Defendant Lime created and delivered the screenplay</w:t>
      </w:r>
      <w:r w:rsidR="00DC6169">
        <w:t>,</w:t>
      </w:r>
      <w:r>
        <w:t xml:space="preserve"> Plaintiff</w:t>
      </w:r>
      <w:r w:rsidR="00557754">
        <w:t xml:space="preserve"> </w:t>
      </w:r>
      <w:r>
        <w:t>sought</w:t>
      </w:r>
      <w:r w:rsidR="00557754">
        <w:t xml:space="preserve"> to </w:t>
      </w:r>
      <w:r>
        <w:t xml:space="preserve">correct its mistake by </w:t>
      </w:r>
      <w:r w:rsidR="00DC6169">
        <w:t xml:space="preserve">later </w:t>
      </w:r>
      <w:r>
        <w:t xml:space="preserve">attempting </w:t>
      </w:r>
      <w:r w:rsidR="00557754">
        <w:t>ratify the alleged agreement.  Plaintiff f</w:t>
      </w:r>
      <w:r>
        <w:t>ailed to meet the simple burden</w:t>
      </w:r>
      <w:r w:rsidR="00557754">
        <w:t xml:space="preserve"> the legislature and the courts</w:t>
      </w:r>
      <w:r w:rsidRPr="00187D55">
        <w:t xml:space="preserve"> </w:t>
      </w:r>
      <w:r>
        <w:t xml:space="preserve">place on purchasers of works-made-for-hire, a </w:t>
      </w:r>
      <w:proofErr w:type="gramStart"/>
      <w:r>
        <w:t>burden which</w:t>
      </w:r>
      <w:proofErr w:type="gramEnd"/>
      <w:r>
        <w:t xml:space="preserve"> promotes clarity of authorship, greater marketability, and lower litigation costs.</w:t>
      </w:r>
      <w:r w:rsidR="00557754">
        <w:t xml:space="preserve"> </w:t>
      </w:r>
      <w:r w:rsidR="00DC6169">
        <w:t xml:space="preserve"> As a matter of law, Plaintiff fails to state a claim upon which relief may be granted.</w:t>
      </w:r>
    </w:p>
    <w:p w14:paraId="76ADB4A6" w14:textId="77777777" w:rsidR="00557754" w:rsidRDefault="00557754" w:rsidP="00DC6169">
      <w:pPr>
        <w:ind w:firstLine="0"/>
      </w:pPr>
    </w:p>
    <w:p w14:paraId="00F84D94" w14:textId="77777777" w:rsidR="00557754" w:rsidRDefault="00557754" w:rsidP="000D7C46"/>
    <w:p w14:paraId="50C4D140" w14:textId="77777777" w:rsidR="00557754" w:rsidRDefault="00DC6169" w:rsidP="00DC6169">
      <w:pPr>
        <w:spacing w:line="240" w:lineRule="auto"/>
      </w:pPr>
      <w:r>
        <w:t>Dated:  3/22</w:t>
      </w:r>
      <w:r w:rsidR="00557754">
        <w:t>/2012</w:t>
      </w:r>
      <w:r w:rsidR="00557754">
        <w:tab/>
      </w:r>
      <w:r w:rsidR="00557754">
        <w:tab/>
      </w:r>
      <w:r w:rsidR="00557754">
        <w:tab/>
      </w:r>
      <w:r w:rsidR="00557754">
        <w:tab/>
      </w:r>
      <w:r w:rsidR="00557754">
        <w:tab/>
      </w:r>
      <w:r w:rsidR="00557754">
        <w:tab/>
        <w:t>Respectfully submitted,</w:t>
      </w:r>
    </w:p>
    <w:p w14:paraId="299C5DB8" w14:textId="77777777" w:rsidR="00557754" w:rsidRDefault="00557754" w:rsidP="00DC6169">
      <w:pPr>
        <w:spacing w:line="240" w:lineRule="auto"/>
      </w:pPr>
    </w:p>
    <w:p w14:paraId="6EC41623" w14:textId="77777777" w:rsidR="00557754" w:rsidRDefault="00557754" w:rsidP="00DC6169">
      <w:pPr>
        <w:spacing w:line="240" w:lineRule="auto"/>
      </w:pPr>
    </w:p>
    <w:p w14:paraId="739222B0" w14:textId="77777777" w:rsidR="00557754" w:rsidRDefault="00557754" w:rsidP="005962A2">
      <w:pPr>
        <w:spacing w:line="240" w:lineRule="auto"/>
      </w:pPr>
      <w:r>
        <w:tab/>
      </w:r>
      <w:r>
        <w:tab/>
      </w:r>
      <w:r>
        <w:tab/>
      </w:r>
      <w:r>
        <w:tab/>
      </w:r>
      <w:r>
        <w:tab/>
      </w:r>
      <w:r>
        <w:tab/>
      </w:r>
      <w:r>
        <w:tab/>
      </w:r>
      <w:r>
        <w:tab/>
      </w:r>
      <w:r w:rsidR="005962A2">
        <w:rPr>
          <w:szCs w:val="24"/>
        </w:rPr>
        <w:t>&lt;redacted&gt;&lt;/redacted&gt;</w:t>
      </w:r>
      <w:bookmarkStart w:id="1" w:name="_GoBack"/>
      <w:bookmarkEnd w:id="1"/>
    </w:p>
    <w:p w14:paraId="4849C262" w14:textId="77777777" w:rsidR="00557754" w:rsidRDefault="00557754" w:rsidP="00DC6169">
      <w:pPr>
        <w:spacing w:line="240" w:lineRule="auto"/>
        <w:ind w:left="6480" w:firstLine="0"/>
        <w:jc w:val="left"/>
      </w:pPr>
      <w:proofErr w:type="gramStart"/>
      <w:r>
        <w:t>ATTORNEY FOR DEFENDANTS ELIZABETH LIME AND TINYTV, INC.</w:t>
      </w:r>
      <w:proofErr w:type="gramEnd"/>
    </w:p>
    <w:p w14:paraId="50B2FA99" w14:textId="77777777" w:rsidR="00557754" w:rsidRDefault="00557754" w:rsidP="000D7C46"/>
    <w:p w14:paraId="7D44A6FB" w14:textId="77777777" w:rsidR="00C23E27" w:rsidRDefault="00C23E27" w:rsidP="000D7C46"/>
    <w:sectPr w:rsidR="00C23E2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8AEC43" w14:textId="77777777" w:rsidR="00C7552B" w:rsidRDefault="00C7552B" w:rsidP="000D7C46">
      <w:r>
        <w:separator/>
      </w:r>
    </w:p>
  </w:endnote>
  <w:endnote w:type="continuationSeparator" w:id="0">
    <w:p w14:paraId="28649D41" w14:textId="77777777" w:rsidR="00C7552B" w:rsidRDefault="00C7552B" w:rsidP="000D7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0329731"/>
      <w:docPartObj>
        <w:docPartGallery w:val="Page Numbers (Bottom of Page)"/>
        <w:docPartUnique/>
      </w:docPartObj>
    </w:sdtPr>
    <w:sdtEndPr>
      <w:rPr>
        <w:noProof/>
      </w:rPr>
    </w:sdtEndPr>
    <w:sdtContent>
      <w:p w14:paraId="6DD65D1F" w14:textId="77777777" w:rsidR="004A76C7" w:rsidRDefault="004A76C7" w:rsidP="000D7C46">
        <w:pPr>
          <w:pStyle w:val="Footer"/>
        </w:pPr>
        <w:r>
          <w:fldChar w:fldCharType="begin"/>
        </w:r>
        <w:r>
          <w:instrText xml:space="preserve"> PAGE   \* MERGEFORMAT </w:instrText>
        </w:r>
        <w:r>
          <w:fldChar w:fldCharType="separate"/>
        </w:r>
        <w:r w:rsidR="005962A2">
          <w:rPr>
            <w:noProof/>
          </w:rPr>
          <w:t>3</w:t>
        </w:r>
        <w:r>
          <w:rPr>
            <w:noProof/>
          </w:rPr>
          <w:fldChar w:fldCharType="end"/>
        </w:r>
      </w:p>
    </w:sdtContent>
  </w:sdt>
  <w:p w14:paraId="53BF63D3" w14:textId="77777777" w:rsidR="004A76C7" w:rsidRDefault="004A76C7" w:rsidP="000D7C4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C6DE7F" w14:textId="77777777" w:rsidR="00C7552B" w:rsidRDefault="00C7552B" w:rsidP="000D7C46">
      <w:r>
        <w:separator/>
      </w:r>
    </w:p>
  </w:footnote>
  <w:footnote w:type="continuationSeparator" w:id="0">
    <w:p w14:paraId="395C2F48" w14:textId="77777777" w:rsidR="00C7552B" w:rsidRDefault="00C7552B" w:rsidP="000D7C4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56708"/>
    <w:multiLevelType w:val="hybridMultilevel"/>
    <w:tmpl w:val="0284EF86"/>
    <w:lvl w:ilvl="0" w:tplc="550296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AE02BF"/>
    <w:multiLevelType w:val="hybridMultilevel"/>
    <w:tmpl w:val="96B6278E"/>
    <w:lvl w:ilvl="0" w:tplc="74204DE4">
      <w:start w:val="1"/>
      <w:numFmt w:val="upperLetter"/>
      <w:lvlText w:val="%1."/>
      <w:lvlJc w:val="left"/>
      <w:pPr>
        <w:ind w:left="1080" w:hanging="36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27F34E7"/>
    <w:multiLevelType w:val="hybridMultilevel"/>
    <w:tmpl w:val="120A64BE"/>
    <w:lvl w:ilvl="0" w:tplc="3DCC2F4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6FA326B"/>
    <w:multiLevelType w:val="hybridMultilevel"/>
    <w:tmpl w:val="89F0526E"/>
    <w:lvl w:ilvl="0" w:tplc="28521BA2">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7C53803"/>
    <w:multiLevelType w:val="hybridMultilevel"/>
    <w:tmpl w:val="FE72ED60"/>
    <w:lvl w:ilvl="0" w:tplc="46F48072">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57567AB"/>
    <w:multiLevelType w:val="hybridMultilevel"/>
    <w:tmpl w:val="454C0B12"/>
    <w:lvl w:ilvl="0" w:tplc="C15EB5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BEB387A"/>
    <w:multiLevelType w:val="hybridMultilevel"/>
    <w:tmpl w:val="5AACDF4A"/>
    <w:lvl w:ilvl="0" w:tplc="70C2443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4"/>
  </w:num>
  <w:num w:numId="4">
    <w:abstractNumId w:val="0"/>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754"/>
    <w:rsid w:val="0005270A"/>
    <w:rsid w:val="00056D91"/>
    <w:rsid w:val="000A320D"/>
    <w:rsid w:val="000C2C2D"/>
    <w:rsid w:val="000C432C"/>
    <w:rsid w:val="000D7C46"/>
    <w:rsid w:val="001501B1"/>
    <w:rsid w:val="00160128"/>
    <w:rsid w:val="00167450"/>
    <w:rsid w:val="00187D55"/>
    <w:rsid w:val="001A01E8"/>
    <w:rsid w:val="001B0324"/>
    <w:rsid w:val="001F053B"/>
    <w:rsid w:val="00200E7B"/>
    <w:rsid w:val="00235355"/>
    <w:rsid w:val="00250628"/>
    <w:rsid w:val="002611D8"/>
    <w:rsid w:val="002700D6"/>
    <w:rsid w:val="002958A1"/>
    <w:rsid w:val="00296FC5"/>
    <w:rsid w:val="00325614"/>
    <w:rsid w:val="003468F4"/>
    <w:rsid w:val="0036005F"/>
    <w:rsid w:val="003B2EBC"/>
    <w:rsid w:val="003C76BA"/>
    <w:rsid w:val="003D0779"/>
    <w:rsid w:val="00403826"/>
    <w:rsid w:val="00416F38"/>
    <w:rsid w:val="00420183"/>
    <w:rsid w:val="00492DC8"/>
    <w:rsid w:val="004A76C7"/>
    <w:rsid w:val="004B3E93"/>
    <w:rsid w:val="005538DD"/>
    <w:rsid w:val="00555766"/>
    <w:rsid w:val="00557754"/>
    <w:rsid w:val="005962A2"/>
    <w:rsid w:val="005A714C"/>
    <w:rsid w:val="005D6A4A"/>
    <w:rsid w:val="005E0A4C"/>
    <w:rsid w:val="005F7B14"/>
    <w:rsid w:val="0060211D"/>
    <w:rsid w:val="00606E73"/>
    <w:rsid w:val="006370BE"/>
    <w:rsid w:val="0064323D"/>
    <w:rsid w:val="00657459"/>
    <w:rsid w:val="00665407"/>
    <w:rsid w:val="0067271D"/>
    <w:rsid w:val="00674147"/>
    <w:rsid w:val="006C1ED6"/>
    <w:rsid w:val="006E0EC8"/>
    <w:rsid w:val="006E51EF"/>
    <w:rsid w:val="006E743E"/>
    <w:rsid w:val="006F270D"/>
    <w:rsid w:val="00736DAF"/>
    <w:rsid w:val="007379DD"/>
    <w:rsid w:val="007404E6"/>
    <w:rsid w:val="00752BF5"/>
    <w:rsid w:val="00786D1F"/>
    <w:rsid w:val="007A5174"/>
    <w:rsid w:val="007A7380"/>
    <w:rsid w:val="007B27B9"/>
    <w:rsid w:val="007E7151"/>
    <w:rsid w:val="00834511"/>
    <w:rsid w:val="00863558"/>
    <w:rsid w:val="0086411F"/>
    <w:rsid w:val="0089040C"/>
    <w:rsid w:val="008B1008"/>
    <w:rsid w:val="008D6B64"/>
    <w:rsid w:val="008F0737"/>
    <w:rsid w:val="009142D3"/>
    <w:rsid w:val="00984207"/>
    <w:rsid w:val="009A0CD3"/>
    <w:rsid w:val="009F0BB7"/>
    <w:rsid w:val="009F5D8C"/>
    <w:rsid w:val="00A10EE2"/>
    <w:rsid w:val="00A17696"/>
    <w:rsid w:val="00A271F1"/>
    <w:rsid w:val="00A31635"/>
    <w:rsid w:val="00A52E5A"/>
    <w:rsid w:val="00A642E4"/>
    <w:rsid w:val="00A70E4C"/>
    <w:rsid w:val="00A71A67"/>
    <w:rsid w:val="00A82D94"/>
    <w:rsid w:val="00A84C4C"/>
    <w:rsid w:val="00A9769E"/>
    <w:rsid w:val="00AB7C90"/>
    <w:rsid w:val="00AF7062"/>
    <w:rsid w:val="00B02A7E"/>
    <w:rsid w:val="00B83C7B"/>
    <w:rsid w:val="00BD5312"/>
    <w:rsid w:val="00BF1324"/>
    <w:rsid w:val="00C23E27"/>
    <w:rsid w:val="00C7437A"/>
    <w:rsid w:val="00C7552B"/>
    <w:rsid w:val="00CD4B5A"/>
    <w:rsid w:val="00CE1339"/>
    <w:rsid w:val="00CE64E0"/>
    <w:rsid w:val="00D01053"/>
    <w:rsid w:val="00D24AA0"/>
    <w:rsid w:val="00D43E5E"/>
    <w:rsid w:val="00D60100"/>
    <w:rsid w:val="00DB1F65"/>
    <w:rsid w:val="00DB239E"/>
    <w:rsid w:val="00DB489E"/>
    <w:rsid w:val="00DC6169"/>
    <w:rsid w:val="00DF7791"/>
    <w:rsid w:val="00E13CD5"/>
    <w:rsid w:val="00E43B13"/>
    <w:rsid w:val="00E53856"/>
    <w:rsid w:val="00E55E10"/>
    <w:rsid w:val="00EC2746"/>
    <w:rsid w:val="00EC2CA9"/>
    <w:rsid w:val="00EF028C"/>
    <w:rsid w:val="00F20763"/>
    <w:rsid w:val="00F65E81"/>
    <w:rsid w:val="00FA24BB"/>
    <w:rsid w:val="00FE3C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D843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C46"/>
    <w:pPr>
      <w:widowControl w:val="0"/>
      <w:spacing w:line="480" w:lineRule="auto"/>
      <w:ind w:firstLine="720"/>
      <w:jc w:val="both"/>
    </w:pPr>
    <w:rPr>
      <w:snapToGrid w:val="0"/>
      <w:sz w:val="24"/>
    </w:rPr>
  </w:style>
  <w:style w:type="paragraph" w:styleId="Heading1">
    <w:name w:val="heading 1"/>
    <w:basedOn w:val="Normal"/>
    <w:next w:val="Normal"/>
    <w:link w:val="Heading1Char"/>
    <w:qFormat/>
    <w:rsid w:val="00200E7B"/>
    <w:pPr>
      <w:keepNext/>
      <w:jc w:val="center"/>
      <w:outlineLvl w:val="0"/>
    </w:pPr>
    <w:rPr>
      <w:b/>
      <w:snapToGrid/>
      <w:u w:val="single"/>
    </w:rPr>
  </w:style>
  <w:style w:type="paragraph" w:styleId="Heading2">
    <w:name w:val="heading 2"/>
    <w:basedOn w:val="Normal"/>
    <w:next w:val="Normal"/>
    <w:link w:val="Heading2Char"/>
    <w:qFormat/>
    <w:rsid w:val="00D24AA0"/>
    <w:pPr>
      <w:keepNext/>
      <w:spacing w:line="240" w:lineRule="auto"/>
      <w:ind w:left="720" w:hanging="720"/>
      <w:outlineLvl w:val="1"/>
    </w:pPr>
    <w:rPr>
      <w:b/>
    </w:rPr>
  </w:style>
  <w:style w:type="paragraph" w:styleId="Heading3">
    <w:name w:val="heading 3"/>
    <w:basedOn w:val="Normal"/>
    <w:next w:val="Normal"/>
    <w:link w:val="Heading3Char"/>
    <w:unhideWhenUsed/>
    <w:qFormat/>
    <w:rsid w:val="00F20763"/>
    <w:pPr>
      <w:spacing w:after="240" w:line="240" w:lineRule="auto"/>
      <w:ind w:left="1440" w:hanging="720"/>
      <w:outlineLvl w:val="2"/>
    </w:pPr>
    <w:rPr>
      <w:b/>
    </w:rPr>
  </w:style>
  <w:style w:type="paragraph" w:styleId="Heading4">
    <w:name w:val="heading 4"/>
    <w:basedOn w:val="Normal"/>
    <w:next w:val="Normal"/>
    <w:link w:val="Heading4Char"/>
    <w:unhideWhenUsed/>
    <w:qFormat/>
    <w:rsid w:val="00A52E5A"/>
    <w:pPr>
      <w:spacing w:after="240" w:line="240" w:lineRule="auto"/>
      <w:ind w:left="2160" w:hanging="72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0E7B"/>
    <w:rPr>
      <w:b/>
      <w:sz w:val="24"/>
      <w:u w:val="single"/>
    </w:rPr>
  </w:style>
  <w:style w:type="character" w:customStyle="1" w:styleId="Heading2Char">
    <w:name w:val="Heading 2 Char"/>
    <w:basedOn w:val="DefaultParagraphFont"/>
    <w:link w:val="Heading2"/>
    <w:rsid w:val="00D24AA0"/>
    <w:rPr>
      <w:b/>
      <w:snapToGrid w:val="0"/>
      <w:sz w:val="24"/>
    </w:rPr>
  </w:style>
  <w:style w:type="paragraph" w:styleId="Title">
    <w:name w:val="Title"/>
    <w:basedOn w:val="Normal"/>
    <w:link w:val="TitleChar"/>
    <w:qFormat/>
    <w:rsid w:val="00CD4B5A"/>
    <w:pPr>
      <w:jc w:val="center"/>
    </w:pPr>
    <w:rPr>
      <w:b/>
    </w:rPr>
  </w:style>
  <w:style w:type="character" w:customStyle="1" w:styleId="TitleChar">
    <w:name w:val="Title Char"/>
    <w:basedOn w:val="DefaultParagraphFont"/>
    <w:link w:val="Title"/>
    <w:rsid w:val="00CD4B5A"/>
    <w:rPr>
      <w:b/>
      <w:snapToGrid w:val="0"/>
      <w:sz w:val="24"/>
    </w:rPr>
  </w:style>
  <w:style w:type="paragraph" w:styleId="Footer">
    <w:name w:val="footer"/>
    <w:basedOn w:val="Normal"/>
    <w:link w:val="FooterChar"/>
    <w:uiPriority w:val="99"/>
    <w:rsid w:val="00557754"/>
    <w:pPr>
      <w:widowControl/>
      <w:tabs>
        <w:tab w:val="center" w:pos="4320"/>
        <w:tab w:val="right" w:pos="8640"/>
      </w:tabs>
    </w:pPr>
    <w:rPr>
      <w:snapToGrid/>
    </w:rPr>
  </w:style>
  <w:style w:type="character" w:customStyle="1" w:styleId="FooterChar">
    <w:name w:val="Footer Char"/>
    <w:basedOn w:val="DefaultParagraphFont"/>
    <w:link w:val="Footer"/>
    <w:uiPriority w:val="99"/>
    <w:rsid w:val="00557754"/>
    <w:rPr>
      <w:sz w:val="24"/>
    </w:rPr>
  </w:style>
  <w:style w:type="paragraph" w:styleId="BodyText">
    <w:name w:val="Body Text"/>
    <w:basedOn w:val="Normal"/>
    <w:link w:val="BodyTextChar"/>
    <w:rsid w:val="00557754"/>
  </w:style>
  <w:style w:type="character" w:customStyle="1" w:styleId="BodyTextChar">
    <w:name w:val="Body Text Char"/>
    <w:basedOn w:val="DefaultParagraphFont"/>
    <w:link w:val="BodyText"/>
    <w:rsid w:val="00557754"/>
    <w:rPr>
      <w:snapToGrid w:val="0"/>
      <w:sz w:val="24"/>
    </w:rPr>
  </w:style>
  <w:style w:type="character" w:styleId="PageNumber">
    <w:name w:val="page number"/>
    <w:basedOn w:val="DefaultParagraphFont"/>
    <w:uiPriority w:val="99"/>
    <w:semiHidden/>
    <w:unhideWhenUsed/>
    <w:rsid w:val="00557754"/>
  </w:style>
  <w:style w:type="paragraph" w:styleId="ListParagraph">
    <w:name w:val="List Paragraph"/>
    <w:basedOn w:val="Normal"/>
    <w:uiPriority w:val="34"/>
    <w:qFormat/>
    <w:rsid w:val="00296FC5"/>
    <w:pPr>
      <w:ind w:left="720"/>
      <w:contextualSpacing/>
    </w:pPr>
  </w:style>
  <w:style w:type="paragraph" w:styleId="Header">
    <w:name w:val="header"/>
    <w:basedOn w:val="Normal"/>
    <w:link w:val="HeaderChar"/>
    <w:uiPriority w:val="99"/>
    <w:unhideWhenUsed/>
    <w:rsid w:val="001F053B"/>
    <w:pPr>
      <w:tabs>
        <w:tab w:val="center" w:pos="4680"/>
        <w:tab w:val="right" w:pos="9360"/>
      </w:tabs>
    </w:pPr>
  </w:style>
  <w:style w:type="character" w:customStyle="1" w:styleId="HeaderChar">
    <w:name w:val="Header Char"/>
    <w:basedOn w:val="DefaultParagraphFont"/>
    <w:link w:val="Header"/>
    <w:uiPriority w:val="99"/>
    <w:rsid w:val="001F053B"/>
    <w:rPr>
      <w:snapToGrid w:val="0"/>
      <w:sz w:val="24"/>
    </w:rPr>
  </w:style>
  <w:style w:type="paragraph" w:styleId="BalloonText">
    <w:name w:val="Balloon Text"/>
    <w:basedOn w:val="Normal"/>
    <w:link w:val="BalloonTextChar"/>
    <w:uiPriority w:val="99"/>
    <w:semiHidden/>
    <w:unhideWhenUsed/>
    <w:rsid w:val="001F053B"/>
    <w:rPr>
      <w:rFonts w:ascii="Tahoma" w:hAnsi="Tahoma" w:cs="Tahoma"/>
      <w:sz w:val="16"/>
      <w:szCs w:val="16"/>
    </w:rPr>
  </w:style>
  <w:style w:type="character" w:customStyle="1" w:styleId="BalloonTextChar">
    <w:name w:val="Balloon Text Char"/>
    <w:basedOn w:val="DefaultParagraphFont"/>
    <w:link w:val="BalloonText"/>
    <w:uiPriority w:val="99"/>
    <w:semiHidden/>
    <w:rsid w:val="001F053B"/>
    <w:rPr>
      <w:rFonts w:ascii="Tahoma" w:hAnsi="Tahoma" w:cs="Tahoma"/>
      <w:snapToGrid w:val="0"/>
      <w:sz w:val="16"/>
      <w:szCs w:val="16"/>
    </w:rPr>
  </w:style>
  <w:style w:type="paragraph" w:styleId="BodyText2">
    <w:name w:val="Body Text 2"/>
    <w:basedOn w:val="Normal"/>
    <w:link w:val="BodyText2Char"/>
    <w:uiPriority w:val="99"/>
    <w:semiHidden/>
    <w:unhideWhenUsed/>
    <w:rsid w:val="00DB1F65"/>
    <w:pPr>
      <w:spacing w:after="120"/>
    </w:pPr>
  </w:style>
  <w:style w:type="character" w:customStyle="1" w:styleId="BodyText2Char">
    <w:name w:val="Body Text 2 Char"/>
    <w:basedOn w:val="DefaultParagraphFont"/>
    <w:link w:val="BodyText2"/>
    <w:uiPriority w:val="99"/>
    <w:semiHidden/>
    <w:rsid w:val="00DB1F65"/>
    <w:rPr>
      <w:snapToGrid w:val="0"/>
      <w:sz w:val="24"/>
    </w:rPr>
  </w:style>
  <w:style w:type="character" w:customStyle="1" w:styleId="Heading3Char">
    <w:name w:val="Heading 3 Char"/>
    <w:basedOn w:val="DefaultParagraphFont"/>
    <w:link w:val="Heading3"/>
    <w:rsid w:val="00F20763"/>
    <w:rPr>
      <w:b/>
      <w:snapToGrid w:val="0"/>
      <w:sz w:val="24"/>
    </w:rPr>
  </w:style>
  <w:style w:type="character" w:customStyle="1" w:styleId="cohl">
    <w:name w:val="co_hl"/>
    <w:basedOn w:val="DefaultParagraphFont"/>
    <w:rsid w:val="00056D91"/>
  </w:style>
  <w:style w:type="character" w:customStyle="1" w:styleId="apple-converted-space">
    <w:name w:val="apple-converted-space"/>
    <w:basedOn w:val="DefaultParagraphFont"/>
    <w:rsid w:val="00056D91"/>
  </w:style>
  <w:style w:type="character" w:styleId="Emphasis">
    <w:name w:val="Emphasis"/>
    <w:basedOn w:val="DefaultParagraphFont"/>
    <w:uiPriority w:val="20"/>
    <w:qFormat/>
    <w:rsid w:val="00DF7791"/>
    <w:rPr>
      <w:i/>
      <w:iCs/>
    </w:rPr>
  </w:style>
  <w:style w:type="character" w:styleId="Strong">
    <w:name w:val="Strong"/>
    <w:basedOn w:val="DefaultParagraphFont"/>
    <w:uiPriority w:val="22"/>
    <w:qFormat/>
    <w:rsid w:val="00665407"/>
    <w:rPr>
      <w:b/>
      <w:bCs/>
    </w:rPr>
  </w:style>
  <w:style w:type="character" w:customStyle="1" w:styleId="Heading4Char">
    <w:name w:val="Heading 4 Char"/>
    <w:basedOn w:val="DefaultParagraphFont"/>
    <w:link w:val="Heading4"/>
    <w:rsid w:val="00A52E5A"/>
    <w:rPr>
      <w:b/>
      <w:snapToGrid w:val="0"/>
      <w:sz w:val="24"/>
    </w:rPr>
  </w:style>
  <w:style w:type="character" w:styleId="Hyperlink">
    <w:name w:val="Hyperlink"/>
    <w:basedOn w:val="DefaultParagraphFont"/>
    <w:uiPriority w:val="99"/>
    <w:unhideWhenUsed/>
    <w:rsid w:val="00DC6169"/>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C46"/>
    <w:pPr>
      <w:widowControl w:val="0"/>
      <w:spacing w:line="480" w:lineRule="auto"/>
      <w:ind w:firstLine="720"/>
      <w:jc w:val="both"/>
    </w:pPr>
    <w:rPr>
      <w:snapToGrid w:val="0"/>
      <w:sz w:val="24"/>
    </w:rPr>
  </w:style>
  <w:style w:type="paragraph" w:styleId="Heading1">
    <w:name w:val="heading 1"/>
    <w:basedOn w:val="Normal"/>
    <w:next w:val="Normal"/>
    <w:link w:val="Heading1Char"/>
    <w:qFormat/>
    <w:rsid w:val="00200E7B"/>
    <w:pPr>
      <w:keepNext/>
      <w:jc w:val="center"/>
      <w:outlineLvl w:val="0"/>
    </w:pPr>
    <w:rPr>
      <w:b/>
      <w:snapToGrid/>
      <w:u w:val="single"/>
    </w:rPr>
  </w:style>
  <w:style w:type="paragraph" w:styleId="Heading2">
    <w:name w:val="heading 2"/>
    <w:basedOn w:val="Normal"/>
    <w:next w:val="Normal"/>
    <w:link w:val="Heading2Char"/>
    <w:qFormat/>
    <w:rsid w:val="00D24AA0"/>
    <w:pPr>
      <w:keepNext/>
      <w:spacing w:line="240" w:lineRule="auto"/>
      <w:ind w:left="720" w:hanging="720"/>
      <w:outlineLvl w:val="1"/>
    </w:pPr>
    <w:rPr>
      <w:b/>
    </w:rPr>
  </w:style>
  <w:style w:type="paragraph" w:styleId="Heading3">
    <w:name w:val="heading 3"/>
    <w:basedOn w:val="Normal"/>
    <w:next w:val="Normal"/>
    <w:link w:val="Heading3Char"/>
    <w:unhideWhenUsed/>
    <w:qFormat/>
    <w:rsid w:val="00F20763"/>
    <w:pPr>
      <w:spacing w:after="240" w:line="240" w:lineRule="auto"/>
      <w:ind w:left="1440" w:hanging="720"/>
      <w:outlineLvl w:val="2"/>
    </w:pPr>
    <w:rPr>
      <w:b/>
    </w:rPr>
  </w:style>
  <w:style w:type="paragraph" w:styleId="Heading4">
    <w:name w:val="heading 4"/>
    <w:basedOn w:val="Normal"/>
    <w:next w:val="Normal"/>
    <w:link w:val="Heading4Char"/>
    <w:unhideWhenUsed/>
    <w:qFormat/>
    <w:rsid w:val="00A52E5A"/>
    <w:pPr>
      <w:spacing w:after="240" w:line="240" w:lineRule="auto"/>
      <w:ind w:left="2160" w:hanging="72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0E7B"/>
    <w:rPr>
      <w:b/>
      <w:sz w:val="24"/>
      <w:u w:val="single"/>
    </w:rPr>
  </w:style>
  <w:style w:type="character" w:customStyle="1" w:styleId="Heading2Char">
    <w:name w:val="Heading 2 Char"/>
    <w:basedOn w:val="DefaultParagraphFont"/>
    <w:link w:val="Heading2"/>
    <w:rsid w:val="00D24AA0"/>
    <w:rPr>
      <w:b/>
      <w:snapToGrid w:val="0"/>
      <w:sz w:val="24"/>
    </w:rPr>
  </w:style>
  <w:style w:type="paragraph" w:styleId="Title">
    <w:name w:val="Title"/>
    <w:basedOn w:val="Normal"/>
    <w:link w:val="TitleChar"/>
    <w:qFormat/>
    <w:rsid w:val="00CD4B5A"/>
    <w:pPr>
      <w:jc w:val="center"/>
    </w:pPr>
    <w:rPr>
      <w:b/>
    </w:rPr>
  </w:style>
  <w:style w:type="character" w:customStyle="1" w:styleId="TitleChar">
    <w:name w:val="Title Char"/>
    <w:basedOn w:val="DefaultParagraphFont"/>
    <w:link w:val="Title"/>
    <w:rsid w:val="00CD4B5A"/>
    <w:rPr>
      <w:b/>
      <w:snapToGrid w:val="0"/>
      <w:sz w:val="24"/>
    </w:rPr>
  </w:style>
  <w:style w:type="paragraph" w:styleId="Footer">
    <w:name w:val="footer"/>
    <w:basedOn w:val="Normal"/>
    <w:link w:val="FooterChar"/>
    <w:uiPriority w:val="99"/>
    <w:rsid w:val="00557754"/>
    <w:pPr>
      <w:widowControl/>
      <w:tabs>
        <w:tab w:val="center" w:pos="4320"/>
        <w:tab w:val="right" w:pos="8640"/>
      </w:tabs>
    </w:pPr>
    <w:rPr>
      <w:snapToGrid/>
    </w:rPr>
  </w:style>
  <w:style w:type="character" w:customStyle="1" w:styleId="FooterChar">
    <w:name w:val="Footer Char"/>
    <w:basedOn w:val="DefaultParagraphFont"/>
    <w:link w:val="Footer"/>
    <w:uiPriority w:val="99"/>
    <w:rsid w:val="00557754"/>
    <w:rPr>
      <w:sz w:val="24"/>
    </w:rPr>
  </w:style>
  <w:style w:type="paragraph" w:styleId="BodyText">
    <w:name w:val="Body Text"/>
    <w:basedOn w:val="Normal"/>
    <w:link w:val="BodyTextChar"/>
    <w:rsid w:val="00557754"/>
  </w:style>
  <w:style w:type="character" w:customStyle="1" w:styleId="BodyTextChar">
    <w:name w:val="Body Text Char"/>
    <w:basedOn w:val="DefaultParagraphFont"/>
    <w:link w:val="BodyText"/>
    <w:rsid w:val="00557754"/>
    <w:rPr>
      <w:snapToGrid w:val="0"/>
      <w:sz w:val="24"/>
    </w:rPr>
  </w:style>
  <w:style w:type="character" w:styleId="PageNumber">
    <w:name w:val="page number"/>
    <w:basedOn w:val="DefaultParagraphFont"/>
    <w:uiPriority w:val="99"/>
    <w:semiHidden/>
    <w:unhideWhenUsed/>
    <w:rsid w:val="00557754"/>
  </w:style>
  <w:style w:type="paragraph" w:styleId="ListParagraph">
    <w:name w:val="List Paragraph"/>
    <w:basedOn w:val="Normal"/>
    <w:uiPriority w:val="34"/>
    <w:qFormat/>
    <w:rsid w:val="00296FC5"/>
    <w:pPr>
      <w:ind w:left="720"/>
      <w:contextualSpacing/>
    </w:pPr>
  </w:style>
  <w:style w:type="paragraph" w:styleId="Header">
    <w:name w:val="header"/>
    <w:basedOn w:val="Normal"/>
    <w:link w:val="HeaderChar"/>
    <w:uiPriority w:val="99"/>
    <w:unhideWhenUsed/>
    <w:rsid w:val="001F053B"/>
    <w:pPr>
      <w:tabs>
        <w:tab w:val="center" w:pos="4680"/>
        <w:tab w:val="right" w:pos="9360"/>
      </w:tabs>
    </w:pPr>
  </w:style>
  <w:style w:type="character" w:customStyle="1" w:styleId="HeaderChar">
    <w:name w:val="Header Char"/>
    <w:basedOn w:val="DefaultParagraphFont"/>
    <w:link w:val="Header"/>
    <w:uiPriority w:val="99"/>
    <w:rsid w:val="001F053B"/>
    <w:rPr>
      <w:snapToGrid w:val="0"/>
      <w:sz w:val="24"/>
    </w:rPr>
  </w:style>
  <w:style w:type="paragraph" w:styleId="BalloonText">
    <w:name w:val="Balloon Text"/>
    <w:basedOn w:val="Normal"/>
    <w:link w:val="BalloonTextChar"/>
    <w:uiPriority w:val="99"/>
    <w:semiHidden/>
    <w:unhideWhenUsed/>
    <w:rsid w:val="001F053B"/>
    <w:rPr>
      <w:rFonts w:ascii="Tahoma" w:hAnsi="Tahoma" w:cs="Tahoma"/>
      <w:sz w:val="16"/>
      <w:szCs w:val="16"/>
    </w:rPr>
  </w:style>
  <w:style w:type="character" w:customStyle="1" w:styleId="BalloonTextChar">
    <w:name w:val="Balloon Text Char"/>
    <w:basedOn w:val="DefaultParagraphFont"/>
    <w:link w:val="BalloonText"/>
    <w:uiPriority w:val="99"/>
    <w:semiHidden/>
    <w:rsid w:val="001F053B"/>
    <w:rPr>
      <w:rFonts w:ascii="Tahoma" w:hAnsi="Tahoma" w:cs="Tahoma"/>
      <w:snapToGrid w:val="0"/>
      <w:sz w:val="16"/>
      <w:szCs w:val="16"/>
    </w:rPr>
  </w:style>
  <w:style w:type="paragraph" w:styleId="BodyText2">
    <w:name w:val="Body Text 2"/>
    <w:basedOn w:val="Normal"/>
    <w:link w:val="BodyText2Char"/>
    <w:uiPriority w:val="99"/>
    <w:semiHidden/>
    <w:unhideWhenUsed/>
    <w:rsid w:val="00DB1F65"/>
    <w:pPr>
      <w:spacing w:after="120"/>
    </w:pPr>
  </w:style>
  <w:style w:type="character" w:customStyle="1" w:styleId="BodyText2Char">
    <w:name w:val="Body Text 2 Char"/>
    <w:basedOn w:val="DefaultParagraphFont"/>
    <w:link w:val="BodyText2"/>
    <w:uiPriority w:val="99"/>
    <w:semiHidden/>
    <w:rsid w:val="00DB1F65"/>
    <w:rPr>
      <w:snapToGrid w:val="0"/>
      <w:sz w:val="24"/>
    </w:rPr>
  </w:style>
  <w:style w:type="character" w:customStyle="1" w:styleId="Heading3Char">
    <w:name w:val="Heading 3 Char"/>
    <w:basedOn w:val="DefaultParagraphFont"/>
    <w:link w:val="Heading3"/>
    <w:rsid w:val="00F20763"/>
    <w:rPr>
      <w:b/>
      <w:snapToGrid w:val="0"/>
      <w:sz w:val="24"/>
    </w:rPr>
  </w:style>
  <w:style w:type="character" w:customStyle="1" w:styleId="cohl">
    <w:name w:val="co_hl"/>
    <w:basedOn w:val="DefaultParagraphFont"/>
    <w:rsid w:val="00056D91"/>
  </w:style>
  <w:style w:type="character" w:customStyle="1" w:styleId="apple-converted-space">
    <w:name w:val="apple-converted-space"/>
    <w:basedOn w:val="DefaultParagraphFont"/>
    <w:rsid w:val="00056D91"/>
  </w:style>
  <w:style w:type="character" w:styleId="Emphasis">
    <w:name w:val="Emphasis"/>
    <w:basedOn w:val="DefaultParagraphFont"/>
    <w:uiPriority w:val="20"/>
    <w:qFormat/>
    <w:rsid w:val="00DF7791"/>
    <w:rPr>
      <w:i/>
      <w:iCs/>
    </w:rPr>
  </w:style>
  <w:style w:type="character" w:styleId="Strong">
    <w:name w:val="Strong"/>
    <w:basedOn w:val="DefaultParagraphFont"/>
    <w:uiPriority w:val="22"/>
    <w:qFormat/>
    <w:rsid w:val="00665407"/>
    <w:rPr>
      <w:b/>
      <w:bCs/>
    </w:rPr>
  </w:style>
  <w:style w:type="character" w:customStyle="1" w:styleId="Heading4Char">
    <w:name w:val="Heading 4 Char"/>
    <w:basedOn w:val="DefaultParagraphFont"/>
    <w:link w:val="Heading4"/>
    <w:rsid w:val="00A52E5A"/>
    <w:rPr>
      <w:b/>
      <w:snapToGrid w:val="0"/>
      <w:sz w:val="24"/>
    </w:rPr>
  </w:style>
  <w:style w:type="character" w:styleId="Hyperlink">
    <w:name w:val="Hyperlink"/>
    <w:basedOn w:val="DefaultParagraphFont"/>
    <w:uiPriority w:val="99"/>
    <w:unhideWhenUsed/>
    <w:rsid w:val="00DC616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291391">
      <w:bodyDiv w:val="1"/>
      <w:marLeft w:val="0"/>
      <w:marRight w:val="0"/>
      <w:marTop w:val="0"/>
      <w:marBottom w:val="0"/>
      <w:divBdr>
        <w:top w:val="none" w:sz="0" w:space="0" w:color="auto"/>
        <w:left w:val="none" w:sz="0" w:space="0" w:color="auto"/>
        <w:bottom w:val="none" w:sz="0" w:space="0" w:color="auto"/>
        <w:right w:val="none" w:sz="0" w:space="0" w:color="auto"/>
      </w:divBdr>
      <w:divsChild>
        <w:div w:id="130294714">
          <w:marLeft w:val="0"/>
          <w:marRight w:val="0"/>
          <w:marTop w:val="0"/>
          <w:marBottom w:val="0"/>
          <w:divBdr>
            <w:top w:val="none" w:sz="0" w:space="0" w:color="auto"/>
            <w:left w:val="none" w:sz="0" w:space="0" w:color="auto"/>
            <w:bottom w:val="none" w:sz="0" w:space="0" w:color="auto"/>
            <w:right w:val="none" w:sz="0" w:space="0" w:color="auto"/>
          </w:divBdr>
          <w:divsChild>
            <w:div w:id="129093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696138">
      <w:bodyDiv w:val="1"/>
      <w:marLeft w:val="0"/>
      <w:marRight w:val="0"/>
      <w:marTop w:val="0"/>
      <w:marBottom w:val="0"/>
      <w:divBdr>
        <w:top w:val="none" w:sz="0" w:space="0" w:color="auto"/>
        <w:left w:val="none" w:sz="0" w:space="0" w:color="auto"/>
        <w:bottom w:val="none" w:sz="0" w:space="0" w:color="auto"/>
        <w:right w:val="none" w:sz="0" w:space="0" w:color="auto"/>
      </w:divBdr>
      <w:divsChild>
        <w:div w:id="957030019">
          <w:marLeft w:val="0"/>
          <w:marRight w:val="0"/>
          <w:marTop w:val="0"/>
          <w:marBottom w:val="0"/>
          <w:divBdr>
            <w:top w:val="none" w:sz="0" w:space="0" w:color="auto"/>
            <w:left w:val="none" w:sz="0" w:space="0" w:color="auto"/>
            <w:bottom w:val="none" w:sz="0" w:space="0" w:color="auto"/>
            <w:right w:val="none" w:sz="0" w:space="0" w:color="auto"/>
          </w:divBdr>
          <w:divsChild>
            <w:div w:id="161863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716631">
      <w:bodyDiv w:val="1"/>
      <w:marLeft w:val="0"/>
      <w:marRight w:val="0"/>
      <w:marTop w:val="0"/>
      <w:marBottom w:val="0"/>
      <w:divBdr>
        <w:top w:val="none" w:sz="0" w:space="0" w:color="auto"/>
        <w:left w:val="none" w:sz="0" w:space="0" w:color="auto"/>
        <w:bottom w:val="none" w:sz="0" w:space="0" w:color="auto"/>
        <w:right w:val="none" w:sz="0" w:space="0" w:color="auto"/>
      </w:divBdr>
      <w:divsChild>
        <w:div w:id="1590310773">
          <w:marLeft w:val="0"/>
          <w:marRight w:val="0"/>
          <w:marTop w:val="0"/>
          <w:marBottom w:val="0"/>
          <w:divBdr>
            <w:top w:val="none" w:sz="0" w:space="0" w:color="auto"/>
            <w:left w:val="none" w:sz="0" w:space="0" w:color="auto"/>
            <w:bottom w:val="none" w:sz="0" w:space="0" w:color="auto"/>
            <w:right w:val="none" w:sz="0" w:space="0" w:color="auto"/>
          </w:divBdr>
          <w:divsChild>
            <w:div w:id="193412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5423">
      <w:bodyDiv w:val="1"/>
      <w:marLeft w:val="0"/>
      <w:marRight w:val="0"/>
      <w:marTop w:val="0"/>
      <w:marBottom w:val="0"/>
      <w:divBdr>
        <w:top w:val="none" w:sz="0" w:space="0" w:color="auto"/>
        <w:left w:val="none" w:sz="0" w:space="0" w:color="auto"/>
        <w:bottom w:val="none" w:sz="0" w:space="0" w:color="auto"/>
        <w:right w:val="none" w:sz="0" w:space="0" w:color="auto"/>
      </w:divBdr>
      <w:divsChild>
        <w:div w:id="1178039800">
          <w:marLeft w:val="0"/>
          <w:marRight w:val="0"/>
          <w:marTop w:val="0"/>
          <w:marBottom w:val="0"/>
          <w:divBdr>
            <w:top w:val="none" w:sz="0" w:space="0" w:color="auto"/>
            <w:left w:val="none" w:sz="0" w:space="0" w:color="auto"/>
            <w:bottom w:val="none" w:sz="0" w:space="0" w:color="auto"/>
            <w:right w:val="none" w:sz="0" w:space="0" w:color="auto"/>
          </w:divBdr>
          <w:divsChild>
            <w:div w:id="147128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179446">
      <w:bodyDiv w:val="1"/>
      <w:marLeft w:val="0"/>
      <w:marRight w:val="0"/>
      <w:marTop w:val="0"/>
      <w:marBottom w:val="0"/>
      <w:divBdr>
        <w:top w:val="none" w:sz="0" w:space="0" w:color="auto"/>
        <w:left w:val="none" w:sz="0" w:space="0" w:color="auto"/>
        <w:bottom w:val="none" w:sz="0" w:space="0" w:color="auto"/>
        <w:right w:val="none" w:sz="0" w:space="0" w:color="auto"/>
      </w:divBdr>
      <w:divsChild>
        <w:div w:id="386295073">
          <w:marLeft w:val="0"/>
          <w:marRight w:val="0"/>
          <w:marTop w:val="0"/>
          <w:marBottom w:val="0"/>
          <w:divBdr>
            <w:top w:val="none" w:sz="0" w:space="0" w:color="auto"/>
            <w:left w:val="none" w:sz="0" w:space="0" w:color="auto"/>
            <w:bottom w:val="none" w:sz="0" w:space="0" w:color="auto"/>
            <w:right w:val="none" w:sz="0" w:space="0" w:color="auto"/>
          </w:divBdr>
          <w:divsChild>
            <w:div w:id="25313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406675">
      <w:bodyDiv w:val="1"/>
      <w:marLeft w:val="0"/>
      <w:marRight w:val="0"/>
      <w:marTop w:val="0"/>
      <w:marBottom w:val="0"/>
      <w:divBdr>
        <w:top w:val="none" w:sz="0" w:space="0" w:color="auto"/>
        <w:left w:val="none" w:sz="0" w:space="0" w:color="auto"/>
        <w:bottom w:val="none" w:sz="0" w:space="0" w:color="auto"/>
        <w:right w:val="none" w:sz="0" w:space="0" w:color="auto"/>
      </w:divBdr>
      <w:divsChild>
        <w:div w:id="1413814810">
          <w:marLeft w:val="0"/>
          <w:marRight w:val="0"/>
          <w:marTop w:val="0"/>
          <w:marBottom w:val="0"/>
          <w:divBdr>
            <w:top w:val="none" w:sz="0" w:space="0" w:color="auto"/>
            <w:left w:val="none" w:sz="0" w:space="0" w:color="auto"/>
            <w:bottom w:val="none" w:sz="0" w:space="0" w:color="auto"/>
            <w:right w:val="none" w:sz="0" w:space="0" w:color="auto"/>
          </w:divBdr>
          <w:divsChild>
            <w:div w:id="88717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82289">
      <w:bodyDiv w:val="1"/>
      <w:marLeft w:val="0"/>
      <w:marRight w:val="0"/>
      <w:marTop w:val="0"/>
      <w:marBottom w:val="0"/>
      <w:divBdr>
        <w:top w:val="none" w:sz="0" w:space="0" w:color="auto"/>
        <w:left w:val="none" w:sz="0" w:space="0" w:color="auto"/>
        <w:bottom w:val="none" w:sz="0" w:space="0" w:color="auto"/>
        <w:right w:val="none" w:sz="0" w:space="0" w:color="auto"/>
      </w:divBdr>
      <w:divsChild>
        <w:div w:id="561017673">
          <w:marLeft w:val="0"/>
          <w:marRight w:val="0"/>
          <w:marTop w:val="0"/>
          <w:marBottom w:val="0"/>
          <w:divBdr>
            <w:top w:val="none" w:sz="0" w:space="0" w:color="auto"/>
            <w:left w:val="none" w:sz="0" w:space="0" w:color="auto"/>
            <w:bottom w:val="none" w:sz="0" w:space="0" w:color="auto"/>
            <w:right w:val="none" w:sz="0" w:space="0" w:color="auto"/>
          </w:divBdr>
          <w:divsChild>
            <w:div w:id="937636784">
              <w:marLeft w:val="0"/>
              <w:marRight w:val="0"/>
              <w:marTop w:val="0"/>
              <w:marBottom w:val="0"/>
              <w:divBdr>
                <w:top w:val="none" w:sz="0" w:space="0" w:color="auto"/>
                <w:left w:val="none" w:sz="0" w:space="0" w:color="auto"/>
                <w:bottom w:val="none" w:sz="0" w:space="0" w:color="auto"/>
                <w:right w:val="none" w:sz="0" w:space="0" w:color="auto"/>
              </w:divBdr>
              <w:divsChild>
                <w:div w:id="1660768770">
                  <w:marLeft w:val="0"/>
                  <w:marRight w:val="0"/>
                  <w:marTop w:val="0"/>
                  <w:marBottom w:val="0"/>
                  <w:divBdr>
                    <w:top w:val="none" w:sz="0" w:space="0" w:color="auto"/>
                    <w:left w:val="none" w:sz="0" w:space="0" w:color="auto"/>
                    <w:bottom w:val="none" w:sz="0" w:space="0" w:color="auto"/>
                    <w:right w:val="none" w:sz="0" w:space="0" w:color="auto"/>
                  </w:divBdr>
                </w:div>
              </w:divsChild>
            </w:div>
            <w:div w:id="2002730926">
              <w:marLeft w:val="0"/>
              <w:marRight w:val="0"/>
              <w:marTop w:val="240"/>
              <w:marBottom w:val="0"/>
              <w:divBdr>
                <w:top w:val="none" w:sz="0" w:space="0" w:color="auto"/>
                <w:left w:val="none" w:sz="0" w:space="0" w:color="auto"/>
                <w:bottom w:val="none" w:sz="0" w:space="0" w:color="auto"/>
                <w:right w:val="none" w:sz="0" w:space="0" w:color="auto"/>
              </w:divBdr>
              <w:divsChild>
                <w:div w:id="2035181882">
                  <w:marLeft w:val="0"/>
                  <w:marRight w:val="0"/>
                  <w:marTop w:val="0"/>
                  <w:marBottom w:val="0"/>
                  <w:divBdr>
                    <w:top w:val="none" w:sz="0" w:space="0" w:color="auto"/>
                    <w:left w:val="none" w:sz="0" w:space="0" w:color="auto"/>
                    <w:bottom w:val="none" w:sz="0" w:space="0" w:color="auto"/>
                    <w:right w:val="none" w:sz="0" w:space="0" w:color="auto"/>
                  </w:divBdr>
                </w:div>
              </w:divsChild>
            </w:div>
            <w:div w:id="277834943">
              <w:marLeft w:val="0"/>
              <w:marRight w:val="0"/>
              <w:marTop w:val="240"/>
              <w:marBottom w:val="0"/>
              <w:divBdr>
                <w:top w:val="none" w:sz="0" w:space="0" w:color="auto"/>
                <w:left w:val="none" w:sz="0" w:space="0" w:color="auto"/>
                <w:bottom w:val="none" w:sz="0" w:space="0" w:color="auto"/>
                <w:right w:val="none" w:sz="0" w:space="0" w:color="auto"/>
              </w:divBdr>
              <w:divsChild>
                <w:div w:id="283468530">
                  <w:marLeft w:val="0"/>
                  <w:marRight w:val="0"/>
                  <w:marTop w:val="0"/>
                  <w:marBottom w:val="0"/>
                  <w:divBdr>
                    <w:top w:val="none" w:sz="0" w:space="0" w:color="auto"/>
                    <w:left w:val="none" w:sz="0" w:space="0" w:color="auto"/>
                    <w:bottom w:val="none" w:sz="0" w:space="0" w:color="auto"/>
                    <w:right w:val="none" w:sz="0" w:space="0" w:color="auto"/>
                  </w:divBdr>
                </w:div>
              </w:divsChild>
            </w:div>
            <w:div w:id="196300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936089">
      <w:bodyDiv w:val="1"/>
      <w:marLeft w:val="0"/>
      <w:marRight w:val="0"/>
      <w:marTop w:val="0"/>
      <w:marBottom w:val="0"/>
      <w:divBdr>
        <w:top w:val="none" w:sz="0" w:space="0" w:color="auto"/>
        <w:left w:val="none" w:sz="0" w:space="0" w:color="auto"/>
        <w:bottom w:val="none" w:sz="0" w:space="0" w:color="auto"/>
        <w:right w:val="none" w:sz="0" w:space="0" w:color="auto"/>
      </w:divBdr>
      <w:divsChild>
        <w:div w:id="192500651">
          <w:marLeft w:val="0"/>
          <w:marRight w:val="0"/>
          <w:marTop w:val="0"/>
          <w:marBottom w:val="0"/>
          <w:divBdr>
            <w:top w:val="none" w:sz="0" w:space="0" w:color="auto"/>
            <w:left w:val="none" w:sz="0" w:space="0" w:color="auto"/>
            <w:bottom w:val="none" w:sz="0" w:space="0" w:color="auto"/>
            <w:right w:val="none" w:sz="0" w:space="0" w:color="auto"/>
          </w:divBdr>
          <w:divsChild>
            <w:div w:id="152837398">
              <w:marLeft w:val="0"/>
              <w:marRight w:val="0"/>
              <w:marTop w:val="0"/>
              <w:marBottom w:val="0"/>
              <w:divBdr>
                <w:top w:val="none" w:sz="0" w:space="0" w:color="auto"/>
                <w:left w:val="none" w:sz="0" w:space="0" w:color="auto"/>
                <w:bottom w:val="none" w:sz="0" w:space="0" w:color="auto"/>
                <w:right w:val="none" w:sz="0" w:space="0" w:color="auto"/>
              </w:divBdr>
              <w:divsChild>
                <w:div w:id="406734573">
                  <w:marLeft w:val="0"/>
                  <w:marRight w:val="0"/>
                  <w:marTop w:val="0"/>
                  <w:marBottom w:val="0"/>
                  <w:divBdr>
                    <w:top w:val="none" w:sz="0" w:space="0" w:color="auto"/>
                    <w:left w:val="none" w:sz="0" w:space="0" w:color="auto"/>
                    <w:bottom w:val="none" w:sz="0" w:space="0" w:color="auto"/>
                    <w:right w:val="none" w:sz="0" w:space="0" w:color="auto"/>
                  </w:divBdr>
                </w:div>
              </w:divsChild>
            </w:div>
            <w:div w:id="830214609">
              <w:marLeft w:val="0"/>
              <w:marRight w:val="0"/>
              <w:marTop w:val="240"/>
              <w:marBottom w:val="0"/>
              <w:divBdr>
                <w:top w:val="none" w:sz="0" w:space="0" w:color="auto"/>
                <w:left w:val="none" w:sz="0" w:space="0" w:color="auto"/>
                <w:bottom w:val="none" w:sz="0" w:space="0" w:color="auto"/>
                <w:right w:val="none" w:sz="0" w:space="0" w:color="auto"/>
              </w:divBdr>
              <w:divsChild>
                <w:div w:id="1753088411">
                  <w:marLeft w:val="0"/>
                  <w:marRight w:val="0"/>
                  <w:marTop w:val="0"/>
                  <w:marBottom w:val="0"/>
                  <w:divBdr>
                    <w:top w:val="none" w:sz="0" w:space="0" w:color="auto"/>
                    <w:left w:val="none" w:sz="0" w:space="0" w:color="auto"/>
                    <w:bottom w:val="none" w:sz="0" w:space="0" w:color="auto"/>
                    <w:right w:val="none" w:sz="0" w:space="0" w:color="auto"/>
                  </w:divBdr>
                </w:div>
              </w:divsChild>
            </w:div>
            <w:div w:id="666905952">
              <w:marLeft w:val="0"/>
              <w:marRight w:val="0"/>
              <w:marTop w:val="240"/>
              <w:marBottom w:val="0"/>
              <w:divBdr>
                <w:top w:val="none" w:sz="0" w:space="0" w:color="auto"/>
                <w:left w:val="none" w:sz="0" w:space="0" w:color="auto"/>
                <w:bottom w:val="none" w:sz="0" w:space="0" w:color="auto"/>
                <w:right w:val="none" w:sz="0" w:space="0" w:color="auto"/>
              </w:divBdr>
              <w:divsChild>
                <w:div w:id="309480304">
                  <w:marLeft w:val="0"/>
                  <w:marRight w:val="0"/>
                  <w:marTop w:val="0"/>
                  <w:marBottom w:val="0"/>
                  <w:divBdr>
                    <w:top w:val="none" w:sz="0" w:space="0" w:color="auto"/>
                    <w:left w:val="none" w:sz="0" w:space="0" w:color="auto"/>
                    <w:bottom w:val="none" w:sz="0" w:space="0" w:color="auto"/>
                    <w:right w:val="none" w:sz="0" w:space="0" w:color="auto"/>
                  </w:divBdr>
                </w:div>
              </w:divsChild>
            </w:div>
            <w:div w:id="111274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78093">
      <w:bodyDiv w:val="1"/>
      <w:marLeft w:val="0"/>
      <w:marRight w:val="0"/>
      <w:marTop w:val="0"/>
      <w:marBottom w:val="0"/>
      <w:divBdr>
        <w:top w:val="none" w:sz="0" w:space="0" w:color="auto"/>
        <w:left w:val="none" w:sz="0" w:space="0" w:color="auto"/>
        <w:bottom w:val="none" w:sz="0" w:space="0" w:color="auto"/>
        <w:right w:val="none" w:sz="0" w:space="0" w:color="auto"/>
      </w:divBdr>
      <w:divsChild>
        <w:div w:id="995719239">
          <w:marLeft w:val="0"/>
          <w:marRight w:val="0"/>
          <w:marTop w:val="0"/>
          <w:marBottom w:val="0"/>
          <w:divBdr>
            <w:top w:val="none" w:sz="0" w:space="0" w:color="auto"/>
            <w:left w:val="none" w:sz="0" w:space="0" w:color="auto"/>
            <w:bottom w:val="none" w:sz="0" w:space="0" w:color="auto"/>
            <w:right w:val="none" w:sz="0" w:space="0" w:color="auto"/>
          </w:divBdr>
          <w:divsChild>
            <w:div w:id="514660075">
              <w:marLeft w:val="0"/>
              <w:marRight w:val="0"/>
              <w:marTop w:val="0"/>
              <w:marBottom w:val="0"/>
              <w:divBdr>
                <w:top w:val="none" w:sz="0" w:space="0" w:color="auto"/>
                <w:left w:val="none" w:sz="0" w:space="0" w:color="auto"/>
                <w:bottom w:val="none" w:sz="0" w:space="0" w:color="auto"/>
                <w:right w:val="none" w:sz="0" w:space="0" w:color="auto"/>
              </w:divBdr>
              <w:divsChild>
                <w:div w:id="1151827053">
                  <w:marLeft w:val="0"/>
                  <w:marRight w:val="0"/>
                  <w:marTop w:val="0"/>
                  <w:marBottom w:val="0"/>
                  <w:divBdr>
                    <w:top w:val="none" w:sz="0" w:space="0" w:color="auto"/>
                    <w:left w:val="none" w:sz="0" w:space="0" w:color="auto"/>
                    <w:bottom w:val="none" w:sz="0" w:space="0" w:color="auto"/>
                    <w:right w:val="none" w:sz="0" w:space="0" w:color="auto"/>
                  </w:divBdr>
                </w:div>
              </w:divsChild>
            </w:div>
            <w:div w:id="1068915630">
              <w:marLeft w:val="0"/>
              <w:marRight w:val="0"/>
              <w:marTop w:val="240"/>
              <w:marBottom w:val="0"/>
              <w:divBdr>
                <w:top w:val="none" w:sz="0" w:space="0" w:color="auto"/>
                <w:left w:val="none" w:sz="0" w:space="0" w:color="auto"/>
                <w:bottom w:val="none" w:sz="0" w:space="0" w:color="auto"/>
                <w:right w:val="none" w:sz="0" w:space="0" w:color="auto"/>
              </w:divBdr>
              <w:divsChild>
                <w:div w:id="1790322385">
                  <w:marLeft w:val="0"/>
                  <w:marRight w:val="0"/>
                  <w:marTop w:val="0"/>
                  <w:marBottom w:val="0"/>
                  <w:divBdr>
                    <w:top w:val="none" w:sz="0" w:space="0" w:color="auto"/>
                    <w:left w:val="none" w:sz="0" w:space="0" w:color="auto"/>
                    <w:bottom w:val="none" w:sz="0" w:space="0" w:color="auto"/>
                    <w:right w:val="none" w:sz="0" w:space="0" w:color="auto"/>
                  </w:divBdr>
                  <w:divsChild>
                    <w:div w:id="110627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9259">
              <w:marLeft w:val="0"/>
              <w:marRight w:val="0"/>
              <w:marTop w:val="240"/>
              <w:marBottom w:val="0"/>
              <w:divBdr>
                <w:top w:val="none" w:sz="0" w:space="0" w:color="auto"/>
                <w:left w:val="none" w:sz="0" w:space="0" w:color="auto"/>
                <w:bottom w:val="none" w:sz="0" w:space="0" w:color="auto"/>
                <w:right w:val="none" w:sz="0" w:space="0" w:color="auto"/>
              </w:divBdr>
              <w:divsChild>
                <w:div w:id="602959587">
                  <w:marLeft w:val="0"/>
                  <w:marRight w:val="0"/>
                  <w:marTop w:val="0"/>
                  <w:marBottom w:val="0"/>
                  <w:divBdr>
                    <w:top w:val="none" w:sz="0" w:space="0" w:color="auto"/>
                    <w:left w:val="none" w:sz="0" w:space="0" w:color="auto"/>
                    <w:bottom w:val="none" w:sz="0" w:space="0" w:color="auto"/>
                    <w:right w:val="none" w:sz="0" w:space="0" w:color="auto"/>
                  </w:divBdr>
                  <w:divsChild>
                    <w:div w:id="120390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76777">
              <w:marLeft w:val="0"/>
              <w:marRight w:val="0"/>
              <w:marTop w:val="240"/>
              <w:marBottom w:val="0"/>
              <w:divBdr>
                <w:top w:val="none" w:sz="0" w:space="0" w:color="auto"/>
                <w:left w:val="none" w:sz="0" w:space="0" w:color="auto"/>
                <w:bottom w:val="none" w:sz="0" w:space="0" w:color="auto"/>
                <w:right w:val="none" w:sz="0" w:space="0" w:color="auto"/>
              </w:divBdr>
              <w:divsChild>
                <w:div w:id="192424603">
                  <w:marLeft w:val="0"/>
                  <w:marRight w:val="0"/>
                  <w:marTop w:val="0"/>
                  <w:marBottom w:val="0"/>
                  <w:divBdr>
                    <w:top w:val="none" w:sz="0" w:space="0" w:color="auto"/>
                    <w:left w:val="none" w:sz="0" w:space="0" w:color="auto"/>
                    <w:bottom w:val="none" w:sz="0" w:space="0" w:color="auto"/>
                    <w:right w:val="none" w:sz="0" w:space="0" w:color="auto"/>
                  </w:divBdr>
                  <w:divsChild>
                    <w:div w:id="149815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3364">
              <w:marLeft w:val="0"/>
              <w:marRight w:val="0"/>
              <w:marTop w:val="240"/>
              <w:marBottom w:val="0"/>
              <w:divBdr>
                <w:top w:val="none" w:sz="0" w:space="0" w:color="auto"/>
                <w:left w:val="none" w:sz="0" w:space="0" w:color="auto"/>
                <w:bottom w:val="none" w:sz="0" w:space="0" w:color="auto"/>
                <w:right w:val="none" w:sz="0" w:space="0" w:color="auto"/>
              </w:divBdr>
              <w:divsChild>
                <w:div w:id="165828350">
                  <w:marLeft w:val="0"/>
                  <w:marRight w:val="0"/>
                  <w:marTop w:val="0"/>
                  <w:marBottom w:val="0"/>
                  <w:divBdr>
                    <w:top w:val="none" w:sz="0" w:space="0" w:color="auto"/>
                    <w:left w:val="none" w:sz="0" w:space="0" w:color="auto"/>
                    <w:bottom w:val="none" w:sz="0" w:space="0" w:color="auto"/>
                    <w:right w:val="none" w:sz="0" w:space="0" w:color="auto"/>
                  </w:divBdr>
                  <w:divsChild>
                    <w:div w:id="55771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01901">
              <w:marLeft w:val="0"/>
              <w:marRight w:val="0"/>
              <w:marTop w:val="240"/>
              <w:marBottom w:val="0"/>
              <w:divBdr>
                <w:top w:val="none" w:sz="0" w:space="0" w:color="auto"/>
                <w:left w:val="none" w:sz="0" w:space="0" w:color="auto"/>
                <w:bottom w:val="none" w:sz="0" w:space="0" w:color="auto"/>
                <w:right w:val="none" w:sz="0" w:space="0" w:color="auto"/>
              </w:divBdr>
              <w:divsChild>
                <w:div w:id="1598906780">
                  <w:marLeft w:val="0"/>
                  <w:marRight w:val="0"/>
                  <w:marTop w:val="0"/>
                  <w:marBottom w:val="0"/>
                  <w:divBdr>
                    <w:top w:val="none" w:sz="0" w:space="0" w:color="auto"/>
                    <w:left w:val="none" w:sz="0" w:space="0" w:color="auto"/>
                    <w:bottom w:val="none" w:sz="0" w:space="0" w:color="auto"/>
                    <w:right w:val="none" w:sz="0" w:space="0" w:color="auto"/>
                  </w:divBdr>
                  <w:divsChild>
                    <w:div w:id="46859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493595">
              <w:marLeft w:val="0"/>
              <w:marRight w:val="0"/>
              <w:marTop w:val="240"/>
              <w:marBottom w:val="0"/>
              <w:divBdr>
                <w:top w:val="none" w:sz="0" w:space="0" w:color="auto"/>
                <w:left w:val="none" w:sz="0" w:space="0" w:color="auto"/>
                <w:bottom w:val="none" w:sz="0" w:space="0" w:color="auto"/>
                <w:right w:val="none" w:sz="0" w:space="0" w:color="auto"/>
              </w:divBdr>
              <w:divsChild>
                <w:div w:id="1120808197">
                  <w:marLeft w:val="0"/>
                  <w:marRight w:val="0"/>
                  <w:marTop w:val="0"/>
                  <w:marBottom w:val="0"/>
                  <w:divBdr>
                    <w:top w:val="none" w:sz="0" w:space="0" w:color="auto"/>
                    <w:left w:val="none" w:sz="0" w:space="0" w:color="auto"/>
                    <w:bottom w:val="none" w:sz="0" w:space="0" w:color="auto"/>
                    <w:right w:val="none" w:sz="0" w:space="0" w:color="auto"/>
                  </w:divBdr>
                  <w:divsChild>
                    <w:div w:id="121014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851589">
              <w:marLeft w:val="0"/>
              <w:marRight w:val="0"/>
              <w:marTop w:val="240"/>
              <w:marBottom w:val="0"/>
              <w:divBdr>
                <w:top w:val="none" w:sz="0" w:space="0" w:color="auto"/>
                <w:left w:val="none" w:sz="0" w:space="0" w:color="auto"/>
                <w:bottom w:val="none" w:sz="0" w:space="0" w:color="auto"/>
                <w:right w:val="none" w:sz="0" w:space="0" w:color="auto"/>
              </w:divBdr>
              <w:divsChild>
                <w:div w:id="1674995333">
                  <w:marLeft w:val="0"/>
                  <w:marRight w:val="0"/>
                  <w:marTop w:val="0"/>
                  <w:marBottom w:val="0"/>
                  <w:divBdr>
                    <w:top w:val="none" w:sz="0" w:space="0" w:color="auto"/>
                    <w:left w:val="none" w:sz="0" w:space="0" w:color="auto"/>
                    <w:bottom w:val="none" w:sz="0" w:space="0" w:color="auto"/>
                    <w:right w:val="none" w:sz="0" w:space="0" w:color="auto"/>
                  </w:divBdr>
                  <w:divsChild>
                    <w:div w:id="38437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449222">
              <w:marLeft w:val="0"/>
              <w:marRight w:val="0"/>
              <w:marTop w:val="240"/>
              <w:marBottom w:val="0"/>
              <w:divBdr>
                <w:top w:val="none" w:sz="0" w:space="0" w:color="auto"/>
                <w:left w:val="none" w:sz="0" w:space="0" w:color="auto"/>
                <w:bottom w:val="none" w:sz="0" w:space="0" w:color="auto"/>
                <w:right w:val="none" w:sz="0" w:space="0" w:color="auto"/>
              </w:divBdr>
              <w:divsChild>
                <w:div w:id="2025667810">
                  <w:marLeft w:val="0"/>
                  <w:marRight w:val="0"/>
                  <w:marTop w:val="0"/>
                  <w:marBottom w:val="0"/>
                  <w:divBdr>
                    <w:top w:val="none" w:sz="0" w:space="0" w:color="auto"/>
                    <w:left w:val="none" w:sz="0" w:space="0" w:color="auto"/>
                    <w:bottom w:val="none" w:sz="0" w:space="0" w:color="auto"/>
                    <w:right w:val="none" w:sz="0" w:space="0" w:color="auto"/>
                  </w:divBdr>
                  <w:divsChild>
                    <w:div w:id="159705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999394">
              <w:marLeft w:val="0"/>
              <w:marRight w:val="0"/>
              <w:marTop w:val="240"/>
              <w:marBottom w:val="0"/>
              <w:divBdr>
                <w:top w:val="none" w:sz="0" w:space="0" w:color="auto"/>
                <w:left w:val="none" w:sz="0" w:space="0" w:color="auto"/>
                <w:bottom w:val="none" w:sz="0" w:space="0" w:color="auto"/>
                <w:right w:val="none" w:sz="0" w:space="0" w:color="auto"/>
              </w:divBdr>
              <w:divsChild>
                <w:div w:id="851261879">
                  <w:marLeft w:val="0"/>
                  <w:marRight w:val="0"/>
                  <w:marTop w:val="0"/>
                  <w:marBottom w:val="0"/>
                  <w:divBdr>
                    <w:top w:val="none" w:sz="0" w:space="0" w:color="auto"/>
                    <w:left w:val="none" w:sz="0" w:space="0" w:color="auto"/>
                    <w:bottom w:val="none" w:sz="0" w:space="0" w:color="auto"/>
                    <w:right w:val="none" w:sz="0" w:space="0" w:color="auto"/>
                  </w:divBdr>
                  <w:divsChild>
                    <w:div w:id="122024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864327">
              <w:marLeft w:val="0"/>
              <w:marRight w:val="0"/>
              <w:marTop w:val="240"/>
              <w:marBottom w:val="0"/>
              <w:divBdr>
                <w:top w:val="none" w:sz="0" w:space="0" w:color="auto"/>
                <w:left w:val="none" w:sz="0" w:space="0" w:color="auto"/>
                <w:bottom w:val="none" w:sz="0" w:space="0" w:color="auto"/>
                <w:right w:val="none" w:sz="0" w:space="0" w:color="auto"/>
              </w:divBdr>
              <w:divsChild>
                <w:div w:id="1720124647">
                  <w:marLeft w:val="0"/>
                  <w:marRight w:val="0"/>
                  <w:marTop w:val="0"/>
                  <w:marBottom w:val="0"/>
                  <w:divBdr>
                    <w:top w:val="none" w:sz="0" w:space="0" w:color="auto"/>
                    <w:left w:val="none" w:sz="0" w:space="0" w:color="auto"/>
                    <w:bottom w:val="none" w:sz="0" w:space="0" w:color="auto"/>
                    <w:right w:val="none" w:sz="0" w:space="0" w:color="auto"/>
                  </w:divBdr>
                  <w:divsChild>
                    <w:div w:id="156337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42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669590">
      <w:bodyDiv w:val="1"/>
      <w:marLeft w:val="0"/>
      <w:marRight w:val="0"/>
      <w:marTop w:val="0"/>
      <w:marBottom w:val="0"/>
      <w:divBdr>
        <w:top w:val="none" w:sz="0" w:space="0" w:color="auto"/>
        <w:left w:val="none" w:sz="0" w:space="0" w:color="auto"/>
        <w:bottom w:val="none" w:sz="0" w:space="0" w:color="auto"/>
        <w:right w:val="none" w:sz="0" w:space="0" w:color="auto"/>
      </w:divBdr>
      <w:divsChild>
        <w:div w:id="972178733">
          <w:marLeft w:val="0"/>
          <w:marRight w:val="0"/>
          <w:marTop w:val="0"/>
          <w:marBottom w:val="0"/>
          <w:divBdr>
            <w:top w:val="none" w:sz="0" w:space="0" w:color="auto"/>
            <w:left w:val="none" w:sz="0" w:space="0" w:color="auto"/>
            <w:bottom w:val="none" w:sz="0" w:space="0" w:color="auto"/>
            <w:right w:val="none" w:sz="0" w:space="0" w:color="auto"/>
          </w:divBdr>
          <w:divsChild>
            <w:div w:id="88941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396900">
      <w:bodyDiv w:val="1"/>
      <w:marLeft w:val="0"/>
      <w:marRight w:val="0"/>
      <w:marTop w:val="0"/>
      <w:marBottom w:val="0"/>
      <w:divBdr>
        <w:top w:val="none" w:sz="0" w:space="0" w:color="auto"/>
        <w:left w:val="none" w:sz="0" w:space="0" w:color="auto"/>
        <w:bottom w:val="none" w:sz="0" w:space="0" w:color="auto"/>
        <w:right w:val="none" w:sz="0" w:space="0" w:color="auto"/>
      </w:divBdr>
      <w:divsChild>
        <w:div w:id="667367344">
          <w:marLeft w:val="0"/>
          <w:marRight w:val="0"/>
          <w:marTop w:val="0"/>
          <w:marBottom w:val="0"/>
          <w:divBdr>
            <w:top w:val="none" w:sz="0" w:space="0" w:color="auto"/>
            <w:left w:val="none" w:sz="0" w:space="0" w:color="auto"/>
            <w:bottom w:val="none" w:sz="0" w:space="0" w:color="auto"/>
            <w:right w:val="none" w:sz="0" w:space="0" w:color="auto"/>
          </w:divBdr>
          <w:divsChild>
            <w:div w:id="31314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3400</Words>
  <Characters>17750</Characters>
  <Application>Microsoft Macintosh Word</Application>
  <DocSecurity>0</DocSecurity>
  <Lines>295</Lines>
  <Paragraphs>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21069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2012-04-11T02:00:00Z</dcterms:created>
  <dcterms:modified xsi:type="dcterms:W3CDTF">2012-06-02T12:56:00Z</dcterms:modified>
  <cp:category/>
  <cp:contentStatus/>
</cp:coreProperties>
</file>